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Белоярского городского поселения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_______________А.Г. </w:t>
      </w:r>
      <w:proofErr w:type="spellStart"/>
      <w:r>
        <w:rPr>
          <w:sz w:val="24"/>
          <w:szCs w:val="24"/>
        </w:rPr>
        <w:t>Люткевич</w:t>
      </w:r>
      <w:proofErr w:type="spellEnd"/>
    </w:p>
    <w:p w:rsidR="00041AC7" w:rsidRDefault="00041AC7" w:rsidP="00015B72">
      <w:pPr>
        <w:jc w:val="right"/>
        <w:rPr>
          <w:sz w:val="24"/>
          <w:szCs w:val="24"/>
        </w:rPr>
      </w:pPr>
    </w:p>
    <w:p w:rsidR="00015B72" w:rsidRPr="0039098D" w:rsidRDefault="00AE4998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E50D63">
        <w:rPr>
          <w:sz w:val="24"/>
          <w:szCs w:val="24"/>
        </w:rPr>
        <w:t xml:space="preserve"> янва</w:t>
      </w:r>
      <w:r w:rsidR="007C38A2">
        <w:rPr>
          <w:sz w:val="24"/>
          <w:szCs w:val="24"/>
        </w:rPr>
        <w:t>ря</w:t>
      </w:r>
      <w:r w:rsidR="007A1019">
        <w:rPr>
          <w:sz w:val="24"/>
          <w:szCs w:val="24"/>
        </w:rPr>
        <w:t xml:space="preserve"> 202</w:t>
      </w:r>
      <w:r w:rsidR="00E50D63">
        <w:rPr>
          <w:sz w:val="24"/>
          <w:szCs w:val="24"/>
        </w:rPr>
        <w:t>1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041A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Аукционная документация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</w:t>
      </w:r>
      <w:r w:rsidR="007C38A2">
        <w:rPr>
          <w:rFonts w:eastAsia="Times New Roman"/>
          <w:b/>
          <w:bCs/>
          <w:sz w:val="23"/>
          <w:szCs w:val="23"/>
        </w:rPr>
        <w:t xml:space="preserve">продаже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  <w:r w:rsidR="00BB555D">
        <w:rPr>
          <w:rFonts w:eastAsia="Times New Roman"/>
          <w:b/>
          <w:bCs/>
          <w:sz w:val="23"/>
          <w:szCs w:val="23"/>
        </w:rPr>
        <w:t xml:space="preserve"> 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041AC7">
        <w:tc>
          <w:tcPr>
            <w:tcW w:w="556" w:type="dxa"/>
            <w:shd w:val="clear" w:color="auto" w:fill="FFFFFF" w:themeFill="background1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9F2837" w:rsidRDefault="00422F43" w:rsidP="007A10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</w:t>
            </w:r>
            <w:r w:rsidRPr="009F2837">
              <w:rPr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9F2837" w:rsidRDefault="00422F43" w:rsidP="00422F43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Почтовый адрес: 636500 Томская область,</w:t>
            </w:r>
            <w:r w:rsidRPr="009F2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upravdel</w:t>
            </w:r>
            <w:proofErr w:type="spellEnd"/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admbel</w:t>
            </w:r>
            <w:proofErr w:type="spellEnd"/>
            <w:r w:rsidRPr="009F2837">
              <w:rPr>
                <w:sz w:val="24"/>
                <w:szCs w:val="24"/>
              </w:rPr>
              <w:t>@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E50D6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Номера кон</w:t>
            </w:r>
            <w:r w:rsidR="00E50D63">
              <w:rPr>
                <w:sz w:val="24"/>
                <w:szCs w:val="24"/>
              </w:rPr>
              <w:t>тактных телефонов: +7(38258) 2-20</w:t>
            </w:r>
            <w:r w:rsidRPr="009F2837">
              <w:rPr>
                <w:sz w:val="24"/>
                <w:szCs w:val="24"/>
              </w:rPr>
              <w:t>-07, 2-12-96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0031CD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3F6760">
              <w:rPr>
                <w:sz w:val="24"/>
                <w:szCs w:val="24"/>
              </w:rPr>
              <w:t>21</w:t>
            </w:r>
            <w:r w:rsidR="00AE3EBF">
              <w:rPr>
                <w:sz w:val="24"/>
                <w:szCs w:val="24"/>
              </w:rPr>
              <w:t xml:space="preserve">» </w:t>
            </w:r>
            <w:r w:rsidR="005E37A8">
              <w:rPr>
                <w:sz w:val="24"/>
                <w:szCs w:val="24"/>
              </w:rPr>
              <w:t>янва</w:t>
            </w:r>
            <w:r w:rsidR="007C38A2">
              <w:rPr>
                <w:sz w:val="24"/>
                <w:szCs w:val="24"/>
              </w:rPr>
              <w:t>ря</w:t>
            </w:r>
            <w:r w:rsidR="00BB555D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>20</w:t>
            </w:r>
            <w:r w:rsidR="007A1019" w:rsidRPr="009F2837">
              <w:rPr>
                <w:sz w:val="24"/>
                <w:szCs w:val="24"/>
              </w:rPr>
              <w:t>2</w:t>
            </w:r>
            <w:r w:rsidR="005E37A8">
              <w:rPr>
                <w:sz w:val="24"/>
                <w:szCs w:val="24"/>
              </w:rPr>
              <w:t>1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 xml:space="preserve">№ </w:t>
            </w:r>
            <w:r w:rsidR="003F6760">
              <w:rPr>
                <w:sz w:val="24"/>
                <w:szCs w:val="24"/>
              </w:rPr>
              <w:t>07</w:t>
            </w:r>
            <w:bookmarkStart w:id="0" w:name="_GoBack"/>
            <w:bookmarkEnd w:id="0"/>
            <w:r w:rsidR="00AE3EBF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>«Об условиях приватизации объект</w:t>
            </w:r>
            <w:r w:rsidR="00AE3EBF">
              <w:rPr>
                <w:sz w:val="24"/>
                <w:szCs w:val="24"/>
              </w:rPr>
              <w:t>ов</w:t>
            </w:r>
            <w:r w:rsidRPr="009F2837">
              <w:rPr>
                <w:sz w:val="24"/>
                <w:szCs w:val="24"/>
              </w:rPr>
              <w:t xml:space="preserve"> муниципальной собственности муниципального образования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3F6760">
              <w:rPr>
                <w:sz w:val="24"/>
                <w:szCs w:val="24"/>
              </w:rPr>
              <w:t>Верхнекетского</w:t>
            </w:r>
            <w:proofErr w:type="spellEnd"/>
            <w:r w:rsidR="003F6760">
              <w:rPr>
                <w:sz w:val="24"/>
                <w:szCs w:val="24"/>
              </w:rPr>
              <w:t xml:space="preserve"> района Томской области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ООО «РТС – тендер» (</w:t>
            </w:r>
            <w:hyperlink r:id="rId6" w:history="1">
              <w:r w:rsidRPr="009F2837">
                <w:rPr>
                  <w:rStyle w:val="a3"/>
                  <w:sz w:val="24"/>
                  <w:szCs w:val="24"/>
                </w:rPr>
                <w:t>www.rts-tender.ru</w:t>
              </w:r>
            </w:hyperlink>
            <w:r w:rsidRPr="009F2837">
              <w:rPr>
                <w:sz w:val="24"/>
                <w:szCs w:val="24"/>
              </w:rPr>
              <w:t>)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837">
                <w:rPr>
                  <w:rStyle w:val="a3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телефон:  +</w:t>
            </w:r>
            <w:proofErr w:type="gramEnd"/>
            <w:r w:rsidRPr="009F2837">
              <w:rPr>
                <w:sz w:val="24"/>
                <w:szCs w:val="24"/>
              </w:rPr>
              <w:t xml:space="preserve">7 (3822) 98-41-99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адрес:  634029</w:t>
            </w:r>
            <w:proofErr w:type="gramEnd"/>
            <w:r w:rsidRPr="009F2837">
              <w:rPr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  <w:lang w:val="en-US"/>
              </w:rPr>
              <w:t>E</w:t>
            </w:r>
            <w:r w:rsidRPr="009F2837">
              <w:rPr>
                <w:sz w:val="24"/>
                <w:szCs w:val="24"/>
              </w:rPr>
              <w:t>-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 xml:space="preserve">: </w:t>
            </w:r>
            <w:hyperlink r:id="rId8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polyakov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9F2837">
              <w:rPr>
                <w:sz w:val="24"/>
                <w:szCs w:val="24"/>
              </w:rPr>
              <w:t xml:space="preserve">, </w:t>
            </w:r>
            <w:hyperlink r:id="rId9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malyshev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837">
              <w:rPr>
                <w:sz w:val="24"/>
                <w:szCs w:val="24"/>
              </w:rPr>
              <w:t xml:space="preserve">   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Представитель: Малышев Александр Анатольевич </w:t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9F2837">
              <w:rPr>
                <w:vanish/>
                <w:sz w:val="24"/>
                <w:szCs w:val="24"/>
              </w:rPr>
              <w:t xml:space="preserve">+7 (3822) 98-41-99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9F2837">
              <w:rPr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E-mail:</w:t>
            </w:r>
            <w:r w:rsidRPr="009F2837">
              <w:rPr>
                <w:vanish/>
                <w:sz w:val="24"/>
                <w:szCs w:val="24"/>
              </w:rPr>
              <w:t xml:space="preserve"> </w:t>
            </w:r>
            <w:hyperlink r:id="rId10" w:history="1">
              <w:r w:rsidRPr="009F2837">
                <w:rPr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9F2837">
              <w:rPr>
                <w:vanish/>
                <w:sz w:val="24"/>
                <w:szCs w:val="24"/>
              </w:rPr>
              <w:t xml:space="preserve"> , </w:t>
            </w:r>
            <w:hyperlink r:id="rId11" w:history="1">
              <w:r w:rsidRPr="009F2837">
                <w:rPr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Поляков Артем Анатольевич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192" w:rsidRDefault="00C731FF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Движимое имущество:</w:t>
            </w:r>
          </w:p>
          <w:p w:rsidR="007C38A2" w:rsidRDefault="009F2837" w:rsidP="007C38A2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1</w:t>
            </w:r>
            <w:r w:rsidRPr="009F283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58EE" w:rsidRPr="009F2837" w:rsidRDefault="00C731FF" w:rsidP="003F6760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C731FF">
              <w:rPr>
                <w:rFonts w:eastAsia="Times New Roman"/>
                <w:sz w:val="24"/>
                <w:szCs w:val="24"/>
              </w:rPr>
              <w:lastRenderedPageBreak/>
              <w:t xml:space="preserve">Легковой А/М, марка, </w:t>
            </w:r>
            <w:proofErr w:type="spellStart"/>
            <w:r w:rsidRPr="00C731FF">
              <w:rPr>
                <w:rFonts w:eastAsia="Times New Roman"/>
                <w:sz w:val="24"/>
                <w:szCs w:val="24"/>
              </w:rPr>
              <w:t>модельТС</w:t>
            </w:r>
            <w:proofErr w:type="spellEnd"/>
            <w:r w:rsidRPr="00C731FF">
              <w:rPr>
                <w:rFonts w:eastAsia="Times New Roman"/>
                <w:sz w:val="24"/>
                <w:szCs w:val="24"/>
              </w:rPr>
              <w:t>- УАЗ-31519, идентификационный номер (</w:t>
            </w:r>
            <w:r w:rsidRPr="00C731FF">
              <w:rPr>
                <w:rFonts w:eastAsia="Times New Roman"/>
                <w:sz w:val="24"/>
                <w:szCs w:val="24"/>
                <w:lang w:val="en-US"/>
              </w:rPr>
              <w:t>VIN</w:t>
            </w:r>
            <w:r w:rsidRPr="00C731FF">
              <w:rPr>
                <w:rFonts w:eastAsia="Times New Roman"/>
                <w:sz w:val="24"/>
                <w:szCs w:val="24"/>
              </w:rPr>
              <w:t>) ХТТ31519030541515, год изготовления 2003, модель, № двигателя УМЗ-421800 № 70101961, цвет кузова (кабины, прицепа) Белая ночь, тип двигателя – бензиновый. Свидетельство о регистрации ТС серия 700М № 528804, регистрационный знак В 803 НВ 70, дата регистрации 24.03.2006 г</w:t>
            </w:r>
            <w:r>
              <w:rPr>
                <w:rFonts w:eastAsia="Times New Roman"/>
                <w:sz w:val="24"/>
                <w:szCs w:val="24"/>
              </w:rPr>
              <w:t>, требует капитального ремонта</w:t>
            </w:r>
          </w:p>
        </w:tc>
      </w:tr>
      <w:tr w:rsidR="0039098D" w:rsidRPr="0039098D" w:rsidTr="00041AC7">
        <w:trPr>
          <w:trHeight w:val="758"/>
        </w:trPr>
        <w:tc>
          <w:tcPr>
            <w:tcW w:w="556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963CB" w:rsidRPr="0039098D" w:rsidRDefault="001963CB" w:rsidP="00C731FF">
            <w:pPr>
              <w:shd w:val="clear" w:color="auto" w:fill="EFF7FB"/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</w:t>
            </w:r>
            <w:r w:rsidR="00803964" w:rsidRPr="0039098D">
              <w:rPr>
                <w:rFonts w:eastAsia="Times New Roman"/>
                <w:sz w:val="24"/>
                <w:szCs w:val="24"/>
              </w:rPr>
              <w:t>.</w:t>
            </w:r>
            <w:r w:rsidR="00E75892" w:rsidRPr="00E758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7A1019" w:rsidP="005E37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Продажа </w:t>
            </w:r>
            <w:r w:rsidR="005E37A8">
              <w:rPr>
                <w:rFonts w:eastAsia="Times New Roman"/>
                <w:sz w:val="24"/>
                <w:szCs w:val="24"/>
              </w:rPr>
              <w:t xml:space="preserve">движимого имущества посредством публичного предложения </w:t>
            </w:r>
            <w:r w:rsidR="005E37A8" w:rsidRPr="0039098D">
              <w:rPr>
                <w:rFonts w:eastAsia="Times New Roman"/>
                <w:sz w:val="24"/>
                <w:szCs w:val="24"/>
              </w:rPr>
              <w:t>в электронной форме</w:t>
            </w:r>
          </w:p>
        </w:tc>
      </w:tr>
      <w:tr w:rsidR="0039098D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Default="00C731FF" w:rsidP="0042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 (семьдесят две тысячи) рублей</w:t>
            </w:r>
          </w:p>
          <w:p w:rsidR="006B26F4" w:rsidRPr="0039098D" w:rsidRDefault="006B26F4" w:rsidP="00B330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330BC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B330BC" w:rsidRPr="00F311E1" w:rsidRDefault="00B330BC" w:rsidP="00B330B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  <w:r w:rsidR="001C5C5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:rsidR="00B330BC" w:rsidRPr="00C92827" w:rsidRDefault="00C731FF" w:rsidP="003F67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3600 (три тысячи шестьсот) рублей</w:t>
            </w:r>
            <w:r w:rsidR="003F6760">
              <w:rPr>
                <w:sz w:val="24"/>
                <w:szCs w:val="24"/>
              </w:rPr>
              <w:t xml:space="preserve"> - </w:t>
            </w:r>
            <w:r w:rsidR="00C56E5E">
              <w:rPr>
                <w:rFonts w:eastAsia="Times New Roman"/>
                <w:sz w:val="24"/>
                <w:szCs w:val="24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5E37A8" w:rsidRPr="0039098D" w:rsidTr="0016638B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5E37A8" w:rsidRPr="0039098D" w:rsidRDefault="005E37A8" w:rsidP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5E37A8" w:rsidRPr="0039098D" w:rsidRDefault="005E37A8" w:rsidP="005E37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6804" w:type="dxa"/>
            <w:shd w:val="clear" w:color="auto" w:fill="FFFFFF" w:themeFill="background1"/>
          </w:tcPr>
          <w:p w:rsidR="005E37A8" w:rsidRPr="00D730ED" w:rsidRDefault="00D730ED" w:rsidP="005E37A8">
            <w:pPr>
              <w:rPr>
                <w:sz w:val="24"/>
                <w:szCs w:val="24"/>
              </w:rPr>
            </w:pPr>
            <w:r w:rsidRPr="00D730ED">
              <w:rPr>
                <w:sz w:val="24"/>
                <w:szCs w:val="24"/>
              </w:rPr>
              <w:t>7200</w:t>
            </w:r>
            <w:r>
              <w:rPr>
                <w:sz w:val="24"/>
                <w:szCs w:val="24"/>
              </w:rPr>
              <w:t xml:space="preserve"> (семь тысяч двести) рублей</w:t>
            </w:r>
          </w:p>
        </w:tc>
      </w:tr>
      <w:tr w:rsidR="005E37A8" w:rsidRPr="0039098D" w:rsidTr="0016638B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5E37A8" w:rsidRPr="0039098D" w:rsidRDefault="005E37A8" w:rsidP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5E37A8" w:rsidRDefault="005E37A8" w:rsidP="005E37A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Минимальная цена предложения («цена отсечения»)</w:t>
            </w:r>
          </w:p>
        </w:tc>
        <w:tc>
          <w:tcPr>
            <w:tcW w:w="6804" w:type="dxa"/>
            <w:shd w:val="clear" w:color="auto" w:fill="FFFFFF" w:themeFill="background1"/>
          </w:tcPr>
          <w:p w:rsidR="005E37A8" w:rsidRPr="00D730ED" w:rsidRDefault="00D730ED" w:rsidP="005E37A8">
            <w:pPr>
              <w:rPr>
                <w:sz w:val="24"/>
                <w:szCs w:val="24"/>
              </w:rPr>
            </w:pPr>
            <w:r w:rsidRPr="00D730ED">
              <w:rPr>
                <w:sz w:val="24"/>
                <w:szCs w:val="24"/>
              </w:rPr>
              <w:t>36000</w:t>
            </w:r>
            <w:r>
              <w:rPr>
                <w:sz w:val="24"/>
                <w:szCs w:val="24"/>
              </w:rPr>
              <w:t xml:space="preserve"> (тридцать шесть тысяч) рублей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Открытая</w:t>
            </w:r>
            <w:r w:rsidR="00B7386E">
              <w:rPr>
                <w:rFonts w:eastAsia="Times New Roman"/>
                <w:sz w:val="24"/>
                <w:szCs w:val="24"/>
              </w:rPr>
              <w:t>, электронный аукцион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6B26F4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992EE8" w:rsidRPr="0039098D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</w:t>
            </w:r>
            <w:r w:rsidR="00AB2BAF">
              <w:rPr>
                <w:rFonts w:eastAsia="Times New Roman"/>
                <w:sz w:val="24"/>
                <w:szCs w:val="24"/>
              </w:rPr>
              <w:t xml:space="preserve">не позднее </w:t>
            </w:r>
            <w:r w:rsidR="008C3343">
              <w:rPr>
                <w:rFonts w:eastAsia="Times New Roman"/>
                <w:sz w:val="24"/>
                <w:szCs w:val="24"/>
              </w:rPr>
              <w:t>30 (тридцати)</w:t>
            </w:r>
            <w:r w:rsidRPr="008C3343">
              <w:rPr>
                <w:rFonts w:eastAsia="Times New Roman"/>
                <w:sz w:val="24"/>
                <w:szCs w:val="24"/>
              </w:rPr>
              <w:t xml:space="preserve">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39098D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</w:t>
            </w:r>
            <w:r w:rsidR="006B26F4" w:rsidRPr="0039098D">
              <w:rPr>
                <w:rFonts w:eastAsia="Times New Roman"/>
                <w:sz w:val="24"/>
                <w:szCs w:val="24"/>
              </w:rPr>
              <w:t>еквизит</w:t>
            </w:r>
            <w:r w:rsidRPr="0039098D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39098D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292304" w:rsidRPr="0039098D" w:rsidRDefault="00992EE8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ИНН </w:t>
            </w:r>
            <w:r w:rsidR="00292304" w:rsidRPr="0039098D">
              <w:rPr>
                <w:sz w:val="24"/>
                <w:szCs w:val="24"/>
              </w:rPr>
              <w:t>700400</w:t>
            </w:r>
            <w:r w:rsidR="002B0A84">
              <w:rPr>
                <w:sz w:val="24"/>
                <w:szCs w:val="24"/>
              </w:rPr>
              <w:t>5098</w:t>
            </w:r>
            <w:r w:rsidR="00292304" w:rsidRPr="0039098D">
              <w:rPr>
                <w:rFonts w:eastAsia="Times New Roman"/>
                <w:sz w:val="24"/>
                <w:szCs w:val="24"/>
              </w:rPr>
              <w:t>, КПП 70</w:t>
            </w:r>
            <w:r w:rsidR="002B0A84">
              <w:rPr>
                <w:rFonts w:eastAsia="Times New Roman"/>
                <w:sz w:val="24"/>
                <w:szCs w:val="24"/>
              </w:rPr>
              <w:t>0</w:t>
            </w:r>
            <w:r w:rsidR="00292304" w:rsidRPr="0039098D">
              <w:rPr>
                <w:rFonts w:eastAsia="Times New Roman"/>
                <w:sz w:val="24"/>
                <w:szCs w:val="24"/>
              </w:rPr>
              <w:t>4</w:t>
            </w:r>
            <w:r w:rsidR="0082249A" w:rsidRPr="0039098D">
              <w:rPr>
                <w:rFonts w:eastAsia="Times New Roman"/>
                <w:sz w:val="24"/>
                <w:szCs w:val="24"/>
              </w:rPr>
              <w:t>01001</w:t>
            </w:r>
            <w:r w:rsidR="00292304" w:rsidRPr="0039098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2249A" w:rsidRPr="0039098D" w:rsidRDefault="00292304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ОГРН 10</w:t>
            </w:r>
            <w:r w:rsidR="002B0A84">
              <w:rPr>
                <w:rFonts w:eastAsia="Times New Roman"/>
                <w:sz w:val="24"/>
                <w:szCs w:val="24"/>
              </w:rPr>
              <w:t>57008448980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л/с 0</w:t>
            </w:r>
            <w:r w:rsidR="005B3BBF">
              <w:rPr>
                <w:sz w:val="24"/>
                <w:szCs w:val="24"/>
              </w:rPr>
              <w:t>2</w:t>
            </w:r>
            <w:r w:rsidRPr="00AB2BAF">
              <w:rPr>
                <w:sz w:val="24"/>
                <w:szCs w:val="24"/>
              </w:rPr>
              <w:t>65300</w:t>
            </w:r>
            <w:r w:rsidR="005B3BBF">
              <w:rPr>
                <w:sz w:val="24"/>
                <w:szCs w:val="24"/>
              </w:rPr>
              <w:t>06580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Расчетный счет № </w:t>
            </w:r>
            <w:r w:rsidR="005B3BBF">
              <w:rPr>
                <w:sz w:val="24"/>
                <w:szCs w:val="24"/>
              </w:rPr>
              <w:t>03100643000000016500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Наименование банка: Отделени</w:t>
            </w:r>
            <w:r w:rsidR="00CF23DE" w:rsidRPr="00AB2BAF">
              <w:rPr>
                <w:sz w:val="24"/>
                <w:szCs w:val="24"/>
              </w:rPr>
              <w:t>е</w:t>
            </w:r>
            <w:r w:rsidRPr="00AB2BAF">
              <w:rPr>
                <w:sz w:val="24"/>
                <w:szCs w:val="24"/>
              </w:rPr>
              <w:t xml:space="preserve"> Томск</w:t>
            </w:r>
            <w:r w:rsidR="005B3BBF">
              <w:rPr>
                <w:sz w:val="24"/>
                <w:szCs w:val="24"/>
              </w:rPr>
              <w:t xml:space="preserve"> банка России // УФК по Томской области</w:t>
            </w:r>
            <w:r w:rsidRPr="00AB2BAF">
              <w:rPr>
                <w:sz w:val="24"/>
                <w:szCs w:val="24"/>
              </w:rPr>
              <w:t xml:space="preserve"> г. Томск</w:t>
            </w:r>
          </w:p>
          <w:p w:rsidR="005B3BBF" w:rsidRDefault="002B0A84" w:rsidP="005B3B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БИК </w:t>
            </w:r>
            <w:r w:rsidR="005B3BBF">
              <w:rPr>
                <w:sz w:val="24"/>
                <w:szCs w:val="24"/>
              </w:rPr>
              <w:t>016902004 счет 40102810245370000058</w:t>
            </w:r>
          </w:p>
          <w:p w:rsidR="006B26F4" w:rsidRPr="0039098D" w:rsidRDefault="006B26F4" w:rsidP="005B3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B2BAF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AB2BAF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AB2BAF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AB2BAF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041AC7">
        <w:trPr>
          <w:trHeight w:val="3810"/>
        </w:trPr>
        <w:tc>
          <w:tcPr>
            <w:tcW w:w="556" w:type="dxa"/>
            <w:shd w:val="clear" w:color="auto" w:fill="FFFFFF" w:themeFill="background1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182AE0" w:rsidRPr="0039098D">
              <w:rPr>
                <w:rFonts w:eastAsia="Times New Roman"/>
                <w:sz w:val="24"/>
                <w:szCs w:val="24"/>
              </w:rPr>
              <w:t>20% начальной цены имущества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F26351">
              <w:rPr>
                <w:rFonts w:eastAsia="Times New Roman"/>
                <w:b/>
                <w:sz w:val="24"/>
                <w:szCs w:val="24"/>
              </w:rPr>
              <w:t>26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26351">
              <w:rPr>
                <w:rFonts w:eastAsia="Times New Roman"/>
                <w:b/>
                <w:sz w:val="24"/>
                <w:szCs w:val="24"/>
              </w:rPr>
              <w:t>янва</w:t>
            </w:r>
            <w:r w:rsidR="00D21C79">
              <w:rPr>
                <w:rFonts w:eastAsia="Times New Roman"/>
                <w:b/>
                <w:sz w:val="24"/>
                <w:szCs w:val="24"/>
              </w:rPr>
              <w:t>р</w:t>
            </w:r>
            <w:r w:rsidR="008C3343">
              <w:rPr>
                <w:rFonts w:eastAsia="Times New Roman"/>
                <w:b/>
                <w:sz w:val="24"/>
                <w:szCs w:val="24"/>
              </w:rPr>
              <w:t>я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19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26351">
              <w:rPr>
                <w:rFonts w:eastAsia="Times New Roman"/>
                <w:b/>
                <w:sz w:val="24"/>
                <w:szCs w:val="24"/>
              </w:rPr>
              <w:t>февраля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3F6760" w:rsidRDefault="00165BB8" w:rsidP="00165BB8">
            <w:pPr>
              <w:pStyle w:val="western"/>
              <w:rPr>
                <w:b/>
                <w:bCs/>
                <w:color w:val="auto"/>
                <w:sz w:val="24"/>
                <w:szCs w:val="24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3F6760" w:rsidRDefault="00165BB8" w:rsidP="003F6760">
            <w:pPr>
              <w:pStyle w:val="western"/>
              <w:rPr>
                <w:rStyle w:val="a3"/>
                <w:color w:val="auto"/>
                <w:sz w:val="24"/>
                <w:szCs w:val="24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3F6760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Наименование банка ФИЛИАЛ</w:t>
            </w:r>
            <w:r w:rsidR="00BA1CD0">
              <w:rPr>
                <w:rFonts w:eastAsia="Times New Roman"/>
                <w:sz w:val="24"/>
                <w:szCs w:val="24"/>
              </w:rPr>
              <w:t xml:space="preserve"> «КОРПОРАТИВНЫЙ» ПАО «СОВКОМБАНК»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Расчетный счёт 40702810</w:t>
            </w:r>
            <w:r w:rsidR="00BA1CD0">
              <w:rPr>
                <w:rFonts w:eastAsia="Times New Roman"/>
                <w:sz w:val="24"/>
                <w:szCs w:val="24"/>
              </w:rPr>
              <w:t>512030016362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Корр. счёт 30101810</w:t>
            </w:r>
            <w:r w:rsidR="00BA1CD0">
              <w:rPr>
                <w:rFonts w:eastAsia="Times New Roman"/>
                <w:sz w:val="24"/>
                <w:szCs w:val="24"/>
              </w:rPr>
              <w:t>445250000360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BA1CD0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БИК 044525360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lastRenderedPageBreak/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  <w:shd w:val="clear" w:color="auto" w:fill="FFFFFF" w:themeFill="background1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</w:t>
            </w:r>
            <w:r w:rsidR="00EB2C92">
              <w:rPr>
                <w:rFonts w:eastAsia="Times New Roman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EB2C92" w:rsidP="000C723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0C723D">
              <w:rPr>
                <w:rFonts w:eastAsia="Times New Roman"/>
                <w:b/>
                <w:sz w:val="24"/>
                <w:szCs w:val="24"/>
              </w:rPr>
              <w:t>26</w:t>
            </w:r>
            <w:r w:rsidR="003515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C723D">
              <w:rPr>
                <w:rFonts w:eastAsia="Times New Roman"/>
                <w:b/>
                <w:sz w:val="24"/>
                <w:szCs w:val="24"/>
              </w:rPr>
              <w:t>янва</w:t>
            </w:r>
            <w:r w:rsidR="00D21C79">
              <w:rPr>
                <w:rFonts w:eastAsia="Times New Roman"/>
                <w:b/>
                <w:sz w:val="24"/>
                <w:szCs w:val="24"/>
              </w:rPr>
              <w:t>р</w:t>
            </w:r>
            <w:r w:rsidR="008C3343">
              <w:rPr>
                <w:rFonts w:eastAsia="Times New Roman"/>
                <w:b/>
                <w:sz w:val="24"/>
                <w:szCs w:val="24"/>
              </w:rPr>
              <w:t>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EB2C92" w:rsidP="000C723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19 февраля 2021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  <w:shd w:val="clear" w:color="auto" w:fill="FFFFFF" w:themeFill="background1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>. Белый Яр, ул. Гагарина, д. 19, Администрация Белоярского городского поселения номера телефонов: (38258) 2-</w:t>
            </w:r>
            <w:r w:rsidR="00D21C79">
              <w:rPr>
                <w:sz w:val="24"/>
                <w:szCs w:val="24"/>
              </w:rPr>
              <w:t>20</w:t>
            </w:r>
            <w:r w:rsidRPr="00E550C4">
              <w:rPr>
                <w:sz w:val="24"/>
                <w:szCs w:val="24"/>
              </w:rPr>
              <w:t xml:space="preserve">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  <w:shd w:val="clear" w:color="auto" w:fill="FFFFFF" w:themeFill="background1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7E50A9" w:rsidRPr="0039098D" w:rsidRDefault="00AF191B" w:rsidP="000C72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0C723D">
              <w:rPr>
                <w:rFonts w:eastAsia="Times New Roman"/>
                <w:b/>
                <w:sz w:val="24"/>
                <w:szCs w:val="24"/>
              </w:rPr>
              <w:t>25</w:t>
            </w:r>
            <w:r w:rsidR="005F53F0">
              <w:rPr>
                <w:rFonts w:eastAsia="Times New Roman"/>
                <w:b/>
                <w:sz w:val="24"/>
                <w:szCs w:val="24"/>
              </w:rPr>
              <w:t>»</w:t>
            </w:r>
            <w:r w:rsidR="008C334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C723D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D21C79">
              <w:rPr>
                <w:rFonts w:eastAsia="Times New Roman"/>
                <w:b/>
                <w:sz w:val="24"/>
                <w:szCs w:val="24"/>
              </w:rPr>
              <w:t>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  <w:shd w:val="clear" w:color="auto" w:fill="FFFFFF" w:themeFill="background1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Pr="00F36774">
              <w:rPr>
                <w:rFonts w:eastAsia="Times New Roman"/>
                <w:b/>
                <w:sz w:val="24"/>
                <w:szCs w:val="24"/>
              </w:rPr>
              <w:t>Аукцион, в котором принял участие только один участник, признается несостоявшимся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0C723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0C723D">
              <w:rPr>
                <w:rFonts w:eastAsia="Times New Roman"/>
                <w:b/>
                <w:sz w:val="24"/>
                <w:szCs w:val="24"/>
              </w:rPr>
              <w:t>2 марта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C723D">
              <w:rPr>
                <w:rFonts w:eastAsia="Times New Roman"/>
                <w:b/>
                <w:sz w:val="24"/>
                <w:szCs w:val="24"/>
              </w:rPr>
              <w:t xml:space="preserve">2021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0C75BF" w:rsidRPr="000C75BF">
              <w:rPr>
                <w:rFonts w:eastAsia="Times New Roman"/>
                <w:b/>
                <w:sz w:val="24"/>
                <w:szCs w:val="24"/>
              </w:rPr>
              <w:t>10</w:t>
            </w:r>
            <w:r w:rsidR="001963CB" w:rsidRPr="000C75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8B3E02" w:rsidP="00D21C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Имущество </w:t>
            </w:r>
            <w:r w:rsidR="003A5AB1">
              <w:rPr>
                <w:rFonts w:eastAsia="Times New Roman"/>
                <w:sz w:val="24"/>
                <w:szCs w:val="24"/>
              </w:rPr>
              <w:t>выставля</w:t>
            </w:r>
            <w:r w:rsidR="000C75BF">
              <w:rPr>
                <w:rFonts w:eastAsia="Times New Roman"/>
                <w:sz w:val="24"/>
                <w:szCs w:val="24"/>
              </w:rPr>
              <w:t>лось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 на </w:t>
            </w:r>
            <w:r w:rsidR="000C75BF">
              <w:rPr>
                <w:rFonts w:eastAsia="Times New Roman"/>
                <w:sz w:val="24"/>
                <w:szCs w:val="24"/>
              </w:rPr>
              <w:t xml:space="preserve">электронные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торги в форме </w:t>
            </w:r>
            <w:r w:rsidR="000C723D">
              <w:rPr>
                <w:rFonts w:eastAsia="Times New Roman"/>
                <w:sz w:val="24"/>
                <w:szCs w:val="24"/>
              </w:rPr>
              <w:t xml:space="preserve">электронного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аукциона </w:t>
            </w:r>
            <w:r w:rsidR="000C723D">
              <w:rPr>
                <w:rFonts w:eastAsia="Times New Roman"/>
                <w:sz w:val="24"/>
                <w:szCs w:val="24"/>
              </w:rPr>
              <w:t>(извещение № 061120/0263218/01 от 09.11.2020)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Продажа</w:t>
      </w:r>
      <w:r w:rsidR="00F36774">
        <w:rPr>
          <w:rFonts w:eastAsia="Times New Roman"/>
          <w:b/>
          <w:bCs/>
          <w:sz w:val="24"/>
          <w:szCs w:val="24"/>
        </w:rPr>
        <w:t xml:space="preserve"> имущества,</w:t>
      </w:r>
      <w:r w:rsidRPr="0039098D">
        <w:rPr>
          <w:rFonts w:eastAsia="Times New Roman"/>
          <w:b/>
          <w:bCs/>
          <w:sz w:val="24"/>
          <w:szCs w:val="24"/>
        </w:rPr>
        <w:t xml:space="preserve"> находящегося в государственной </w:t>
      </w:r>
      <w:r w:rsidR="00F36774">
        <w:rPr>
          <w:rFonts w:eastAsia="Times New Roman"/>
          <w:b/>
          <w:bCs/>
          <w:sz w:val="24"/>
          <w:szCs w:val="24"/>
        </w:rPr>
        <w:t xml:space="preserve">(муниципальной) </w:t>
      </w:r>
      <w:r w:rsidRPr="0039098D">
        <w:rPr>
          <w:rFonts w:eastAsia="Times New Roman"/>
          <w:b/>
          <w:bCs/>
          <w:sz w:val="24"/>
          <w:szCs w:val="24"/>
        </w:rPr>
        <w:t xml:space="preserve">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39098D">
        <w:rPr>
          <w:rFonts w:eastAsia="Times New Roman"/>
          <w:b/>
          <w:bCs/>
          <w:sz w:val="24"/>
          <w:szCs w:val="24"/>
        </w:rPr>
        <w:t>области  проводится</w:t>
      </w:r>
      <w:proofErr w:type="gramEnd"/>
      <w:r w:rsidRPr="0039098D">
        <w:rPr>
          <w:rFonts w:eastAsia="Times New Roman"/>
          <w:b/>
          <w:bCs/>
          <w:sz w:val="24"/>
          <w:szCs w:val="24"/>
        </w:rPr>
        <w:t xml:space="preserve">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181AB2" w:rsidRPr="00487404" w:rsidRDefault="00E550C4" w:rsidP="00203F51">
      <w:pPr>
        <w:numPr>
          <w:ilvl w:val="1"/>
          <w:numId w:val="3"/>
        </w:numPr>
        <w:tabs>
          <w:tab w:val="left" w:pos="852"/>
        </w:tabs>
        <w:spacing w:line="234" w:lineRule="auto"/>
        <w:ind w:left="560" w:firstLine="567"/>
        <w:jc w:val="both"/>
        <w:rPr>
          <w:rFonts w:eastAsia="Times New Roman"/>
          <w:b/>
          <w:bCs/>
          <w:sz w:val="24"/>
          <w:szCs w:val="24"/>
        </w:rPr>
      </w:pPr>
      <w:r w:rsidRPr="00487404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 w:rsidRPr="00487404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487404">
        <w:rPr>
          <w:rFonts w:eastAsia="Times New Roman"/>
          <w:sz w:val="24"/>
          <w:szCs w:val="24"/>
        </w:rPr>
        <w:t>Белоярское городское поселение</w:t>
      </w:r>
      <w:r w:rsidR="00F311E1" w:rsidRPr="00487404">
        <w:rPr>
          <w:rFonts w:eastAsia="Times New Roman"/>
          <w:sz w:val="24"/>
          <w:szCs w:val="24"/>
        </w:rPr>
        <w:t xml:space="preserve"> </w:t>
      </w:r>
      <w:proofErr w:type="spellStart"/>
      <w:r w:rsidR="00F311E1" w:rsidRPr="00487404">
        <w:rPr>
          <w:rFonts w:eastAsia="Times New Roman"/>
          <w:sz w:val="24"/>
          <w:szCs w:val="24"/>
        </w:rPr>
        <w:t>Верхнекетского</w:t>
      </w:r>
      <w:proofErr w:type="spellEnd"/>
      <w:r w:rsidR="00F311E1" w:rsidRPr="00487404">
        <w:rPr>
          <w:rFonts w:eastAsia="Times New Roman"/>
          <w:sz w:val="24"/>
          <w:szCs w:val="24"/>
        </w:rPr>
        <w:t xml:space="preserve"> района Томской области</w:t>
      </w:r>
      <w:r w:rsidRPr="00487404">
        <w:rPr>
          <w:rFonts w:eastAsia="Times New Roman"/>
          <w:sz w:val="24"/>
          <w:szCs w:val="24"/>
        </w:rPr>
        <w:t xml:space="preserve"> на 20</w:t>
      </w:r>
      <w:r w:rsidR="00F311E1" w:rsidRPr="00487404">
        <w:rPr>
          <w:rFonts w:eastAsia="Times New Roman"/>
          <w:sz w:val="24"/>
          <w:szCs w:val="24"/>
        </w:rPr>
        <w:t>2</w:t>
      </w:r>
      <w:r w:rsidR="00487404" w:rsidRPr="00487404">
        <w:rPr>
          <w:rFonts w:eastAsia="Times New Roman"/>
          <w:sz w:val="24"/>
          <w:szCs w:val="24"/>
        </w:rPr>
        <w:t>1</w:t>
      </w:r>
      <w:r w:rsidRPr="00487404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</w:t>
      </w:r>
      <w:r w:rsidR="00487404" w:rsidRPr="00487404">
        <w:rPr>
          <w:rFonts w:eastAsia="Times New Roman"/>
          <w:sz w:val="24"/>
          <w:szCs w:val="24"/>
        </w:rPr>
        <w:t>5</w:t>
      </w:r>
      <w:r w:rsidRPr="00487404">
        <w:rPr>
          <w:rFonts w:eastAsia="Times New Roman"/>
          <w:sz w:val="24"/>
          <w:szCs w:val="24"/>
        </w:rPr>
        <w:t>.12.20</w:t>
      </w:r>
      <w:r w:rsidR="00487404" w:rsidRPr="00487404">
        <w:rPr>
          <w:rFonts w:eastAsia="Times New Roman"/>
          <w:sz w:val="24"/>
          <w:szCs w:val="24"/>
        </w:rPr>
        <w:t>20</w:t>
      </w:r>
      <w:r w:rsidRPr="00487404">
        <w:rPr>
          <w:rFonts w:eastAsia="Times New Roman"/>
          <w:sz w:val="24"/>
          <w:szCs w:val="24"/>
        </w:rPr>
        <w:t xml:space="preserve"> № </w:t>
      </w:r>
      <w:r w:rsidR="00F311E1" w:rsidRPr="00487404">
        <w:rPr>
          <w:rFonts w:eastAsia="Times New Roman"/>
          <w:sz w:val="24"/>
          <w:szCs w:val="24"/>
        </w:rPr>
        <w:t>0</w:t>
      </w:r>
      <w:r w:rsidR="00487404" w:rsidRPr="00487404">
        <w:rPr>
          <w:rFonts w:eastAsia="Times New Roman"/>
          <w:sz w:val="24"/>
          <w:szCs w:val="24"/>
        </w:rPr>
        <w:t>34</w:t>
      </w:r>
      <w:r w:rsidR="00D21C79" w:rsidRPr="00487404">
        <w:rPr>
          <w:rFonts w:eastAsia="Times New Roman"/>
          <w:sz w:val="24"/>
          <w:szCs w:val="24"/>
        </w:rPr>
        <w:t xml:space="preserve"> </w:t>
      </w: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31CD"/>
    <w:rsid w:val="00015B72"/>
    <w:rsid w:val="00022F23"/>
    <w:rsid w:val="00041AC7"/>
    <w:rsid w:val="00060D34"/>
    <w:rsid w:val="00073AC5"/>
    <w:rsid w:val="00083D42"/>
    <w:rsid w:val="00087D51"/>
    <w:rsid w:val="000C723D"/>
    <w:rsid w:val="000C75BF"/>
    <w:rsid w:val="000E6332"/>
    <w:rsid w:val="000F58D2"/>
    <w:rsid w:val="00165BB8"/>
    <w:rsid w:val="00181AB2"/>
    <w:rsid w:val="00182AE0"/>
    <w:rsid w:val="001963CB"/>
    <w:rsid w:val="001C5C5B"/>
    <w:rsid w:val="001E0A69"/>
    <w:rsid w:val="0020270D"/>
    <w:rsid w:val="0021253B"/>
    <w:rsid w:val="00230A60"/>
    <w:rsid w:val="00242E1F"/>
    <w:rsid w:val="0024605A"/>
    <w:rsid w:val="00263FD6"/>
    <w:rsid w:val="00292304"/>
    <w:rsid w:val="002A38B7"/>
    <w:rsid w:val="002A7AC5"/>
    <w:rsid w:val="002B0A84"/>
    <w:rsid w:val="00300FDC"/>
    <w:rsid w:val="003037A5"/>
    <w:rsid w:val="00310580"/>
    <w:rsid w:val="00340FA3"/>
    <w:rsid w:val="003515D0"/>
    <w:rsid w:val="00390683"/>
    <w:rsid w:val="0039098D"/>
    <w:rsid w:val="003A5AB1"/>
    <w:rsid w:val="003F6760"/>
    <w:rsid w:val="00422F43"/>
    <w:rsid w:val="004534E4"/>
    <w:rsid w:val="00487404"/>
    <w:rsid w:val="004A620A"/>
    <w:rsid w:val="0051559F"/>
    <w:rsid w:val="0059405D"/>
    <w:rsid w:val="0059622E"/>
    <w:rsid w:val="005A15EC"/>
    <w:rsid w:val="005A1BA3"/>
    <w:rsid w:val="005A447E"/>
    <w:rsid w:val="005B3BBF"/>
    <w:rsid w:val="005E37A8"/>
    <w:rsid w:val="005E48EA"/>
    <w:rsid w:val="005E6446"/>
    <w:rsid w:val="005F53F0"/>
    <w:rsid w:val="00645B81"/>
    <w:rsid w:val="00645E7B"/>
    <w:rsid w:val="00653572"/>
    <w:rsid w:val="006B26F4"/>
    <w:rsid w:val="00745C19"/>
    <w:rsid w:val="007673EF"/>
    <w:rsid w:val="007A1019"/>
    <w:rsid w:val="007A2C1F"/>
    <w:rsid w:val="007C38A2"/>
    <w:rsid w:val="007E50A9"/>
    <w:rsid w:val="00803964"/>
    <w:rsid w:val="0082249A"/>
    <w:rsid w:val="008423D5"/>
    <w:rsid w:val="008548A6"/>
    <w:rsid w:val="008B3E02"/>
    <w:rsid w:val="008B54CA"/>
    <w:rsid w:val="008C3343"/>
    <w:rsid w:val="008C7DEB"/>
    <w:rsid w:val="008D5313"/>
    <w:rsid w:val="00915691"/>
    <w:rsid w:val="00925AE2"/>
    <w:rsid w:val="00932696"/>
    <w:rsid w:val="009511FB"/>
    <w:rsid w:val="00962ADE"/>
    <w:rsid w:val="00962EDE"/>
    <w:rsid w:val="00992EE8"/>
    <w:rsid w:val="009A13A0"/>
    <w:rsid w:val="009B4BDA"/>
    <w:rsid w:val="009C0C72"/>
    <w:rsid w:val="009E5DA8"/>
    <w:rsid w:val="009E7AC9"/>
    <w:rsid w:val="009F2837"/>
    <w:rsid w:val="00A06E50"/>
    <w:rsid w:val="00A23895"/>
    <w:rsid w:val="00A51E82"/>
    <w:rsid w:val="00A62122"/>
    <w:rsid w:val="00A94A90"/>
    <w:rsid w:val="00AA2569"/>
    <w:rsid w:val="00AB2BAF"/>
    <w:rsid w:val="00AE3EBF"/>
    <w:rsid w:val="00AE4998"/>
    <w:rsid w:val="00AE73B6"/>
    <w:rsid w:val="00AF191B"/>
    <w:rsid w:val="00B22EA6"/>
    <w:rsid w:val="00B330BC"/>
    <w:rsid w:val="00B7386E"/>
    <w:rsid w:val="00B82A0B"/>
    <w:rsid w:val="00BA1CD0"/>
    <w:rsid w:val="00BB555D"/>
    <w:rsid w:val="00C0415B"/>
    <w:rsid w:val="00C233DD"/>
    <w:rsid w:val="00C36A93"/>
    <w:rsid w:val="00C56E5E"/>
    <w:rsid w:val="00C731FF"/>
    <w:rsid w:val="00C92827"/>
    <w:rsid w:val="00CB2A77"/>
    <w:rsid w:val="00CC318D"/>
    <w:rsid w:val="00CF23DE"/>
    <w:rsid w:val="00D21C79"/>
    <w:rsid w:val="00D51D9D"/>
    <w:rsid w:val="00D62CC6"/>
    <w:rsid w:val="00D64EDC"/>
    <w:rsid w:val="00D70A0C"/>
    <w:rsid w:val="00D730ED"/>
    <w:rsid w:val="00DC661C"/>
    <w:rsid w:val="00E30718"/>
    <w:rsid w:val="00E50D63"/>
    <w:rsid w:val="00E550C4"/>
    <w:rsid w:val="00E610AA"/>
    <w:rsid w:val="00E75892"/>
    <w:rsid w:val="00EB2C92"/>
    <w:rsid w:val="00EC070C"/>
    <w:rsid w:val="00EE1A48"/>
    <w:rsid w:val="00F0127D"/>
    <w:rsid w:val="00F24619"/>
    <w:rsid w:val="00F26351"/>
    <w:rsid w:val="00F311E1"/>
    <w:rsid w:val="00F36774"/>
    <w:rsid w:val="00F41394"/>
    <w:rsid w:val="00F427C1"/>
    <w:rsid w:val="00F479C8"/>
    <w:rsid w:val="00F64362"/>
    <w:rsid w:val="00FC719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99A3-3557-4CF5-A184-78060DA3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3370</Words>
  <Characters>19210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17</cp:revision>
  <cp:lastPrinted>2021-01-20T08:32:00Z</cp:lastPrinted>
  <dcterms:created xsi:type="dcterms:W3CDTF">2020-04-16T08:51:00Z</dcterms:created>
  <dcterms:modified xsi:type="dcterms:W3CDTF">2021-01-22T04:27:00Z</dcterms:modified>
</cp:coreProperties>
</file>