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2" w:rsidRPr="0039098D" w:rsidRDefault="00BB555D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9B4BDA">
        <w:rPr>
          <w:sz w:val="24"/>
          <w:szCs w:val="24"/>
        </w:rPr>
        <w:t>апреля</w:t>
      </w:r>
      <w:r w:rsidR="007A1019">
        <w:rPr>
          <w:sz w:val="24"/>
          <w:szCs w:val="24"/>
        </w:rPr>
        <w:t xml:space="preserve"> 2020</w:t>
      </w:r>
      <w:r w:rsidR="00015B72" w:rsidRPr="0039098D">
        <w:rPr>
          <w:sz w:val="24"/>
          <w:szCs w:val="24"/>
        </w:rPr>
        <w:t>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8B54CA">
      <w:pPr>
        <w:jc w:val="center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BB555D">
        <w:rPr>
          <w:rFonts w:eastAsia="Times New Roman"/>
          <w:b/>
          <w:bCs/>
          <w:sz w:val="23"/>
          <w:szCs w:val="23"/>
        </w:rPr>
        <w:t xml:space="preserve">посредством публичного предложения </w:t>
      </w:r>
      <w:r w:rsidR="00AE3EBF">
        <w:rPr>
          <w:rFonts w:eastAsia="Times New Roman"/>
          <w:b/>
          <w:bCs/>
          <w:sz w:val="23"/>
          <w:szCs w:val="23"/>
        </w:rPr>
        <w:t xml:space="preserve">муниципального имущества (сооружения электроэнергетики) </w:t>
      </w:r>
      <w:r w:rsidR="00F479C8">
        <w:rPr>
          <w:rFonts w:eastAsia="Times New Roman"/>
          <w:b/>
          <w:bCs/>
          <w:sz w:val="23"/>
          <w:szCs w:val="23"/>
        </w:rPr>
        <w:t>муниципального образования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  <w:r w:rsidR="00F479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F479C8">
        <w:rPr>
          <w:rFonts w:eastAsia="Times New Roman"/>
          <w:b/>
          <w:bCs/>
          <w:sz w:val="23"/>
          <w:szCs w:val="23"/>
        </w:rPr>
        <w:t>Верхнекетского</w:t>
      </w:r>
      <w:proofErr w:type="spellEnd"/>
      <w:r w:rsidR="00F479C8">
        <w:rPr>
          <w:rFonts w:eastAsia="Times New Roman"/>
          <w:b/>
          <w:bCs/>
          <w:sz w:val="23"/>
          <w:szCs w:val="23"/>
        </w:rPr>
        <w:t xml:space="preserve"> района Томской области</w:t>
      </w:r>
      <w:r w:rsidR="00BB555D">
        <w:rPr>
          <w:rFonts w:eastAsia="Times New Roman"/>
          <w:b/>
          <w:bCs/>
          <w:sz w:val="23"/>
          <w:szCs w:val="23"/>
        </w:rPr>
        <w:t xml:space="preserve"> 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7A2C1F">
        <w:tc>
          <w:tcPr>
            <w:tcW w:w="556" w:type="dxa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Собственник имущества (продавец)</w:t>
            </w:r>
            <w:r w:rsidRPr="0039098D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422F43" w:rsidRPr="009F2837" w:rsidRDefault="00422F43" w:rsidP="007A10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Муниципальное образование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</w:t>
            </w:r>
            <w:r w:rsidRPr="009F2837">
              <w:rPr>
                <w:sz w:val="24"/>
                <w:szCs w:val="24"/>
              </w:rPr>
              <w:t xml:space="preserve">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7A2C1F">
        <w:tc>
          <w:tcPr>
            <w:tcW w:w="556" w:type="dxa"/>
            <w:vMerge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422F43" w:rsidRPr="009F2837" w:rsidRDefault="00422F43" w:rsidP="00422F43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Почтовый адрес: 636500 Томская область,</w:t>
            </w:r>
            <w:r w:rsidRPr="009F2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upravdel</w:t>
            </w:r>
            <w:proofErr w:type="spellEnd"/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admbel</w:t>
            </w:r>
            <w:proofErr w:type="spellEnd"/>
            <w:r w:rsidRPr="009F2837">
              <w:rPr>
                <w:sz w:val="24"/>
                <w:szCs w:val="24"/>
              </w:rPr>
              <w:t>@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Номера контактных телефонов: +7(38258) 2-37-07, 2-12-96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BB555D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Реквизиты решения об условиях приватизации имущества: постановление Администрации Белоярского городского поселения от «</w:t>
            </w:r>
            <w:r w:rsidR="00BB555D">
              <w:rPr>
                <w:sz w:val="24"/>
                <w:szCs w:val="24"/>
              </w:rPr>
              <w:t>16</w:t>
            </w:r>
            <w:r w:rsidR="00AE3EBF">
              <w:rPr>
                <w:sz w:val="24"/>
                <w:szCs w:val="24"/>
              </w:rPr>
              <w:t xml:space="preserve">» </w:t>
            </w:r>
            <w:r w:rsidR="00BB555D">
              <w:rPr>
                <w:sz w:val="24"/>
                <w:szCs w:val="24"/>
              </w:rPr>
              <w:t xml:space="preserve">апреля </w:t>
            </w:r>
            <w:r w:rsidRPr="009F2837">
              <w:rPr>
                <w:sz w:val="24"/>
                <w:szCs w:val="24"/>
              </w:rPr>
              <w:t>20</w:t>
            </w:r>
            <w:r w:rsidR="007A1019" w:rsidRPr="009F2837">
              <w:rPr>
                <w:sz w:val="24"/>
                <w:szCs w:val="24"/>
              </w:rPr>
              <w:t xml:space="preserve">20 </w:t>
            </w:r>
            <w:r w:rsidRPr="009F2837">
              <w:rPr>
                <w:sz w:val="24"/>
                <w:szCs w:val="24"/>
              </w:rPr>
              <w:t xml:space="preserve">№ </w:t>
            </w:r>
            <w:r w:rsidR="00BB555D">
              <w:rPr>
                <w:sz w:val="24"/>
                <w:szCs w:val="24"/>
              </w:rPr>
              <w:t>196</w:t>
            </w:r>
            <w:r w:rsidR="00AE3EBF">
              <w:rPr>
                <w:sz w:val="24"/>
                <w:szCs w:val="24"/>
              </w:rPr>
              <w:t xml:space="preserve"> </w:t>
            </w:r>
            <w:r w:rsidRPr="009F2837">
              <w:rPr>
                <w:sz w:val="24"/>
                <w:szCs w:val="24"/>
              </w:rPr>
              <w:t>«Об условиях приватизации объект</w:t>
            </w:r>
            <w:r w:rsidR="00AE3EBF">
              <w:rPr>
                <w:sz w:val="24"/>
                <w:szCs w:val="24"/>
              </w:rPr>
              <w:t>ов</w:t>
            </w:r>
            <w:r w:rsidRPr="009F2837">
              <w:rPr>
                <w:sz w:val="24"/>
                <w:szCs w:val="24"/>
              </w:rPr>
              <w:t xml:space="preserve"> муниципальной собственности </w:t>
            </w:r>
            <w:r w:rsidR="00AE3EBF">
              <w:rPr>
                <w:sz w:val="24"/>
                <w:szCs w:val="24"/>
              </w:rPr>
              <w:t xml:space="preserve">(сооружения электроэнергетики) </w:t>
            </w:r>
            <w:r w:rsidRPr="009F2837">
              <w:rPr>
                <w:sz w:val="24"/>
                <w:szCs w:val="24"/>
              </w:rPr>
              <w:t>муниципального образования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 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0"/>
                <w:szCs w:val="20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39098D">
              <w:t xml:space="preserve"> - э</w:t>
            </w:r>
            <w:r w:rsidRPr="0039098D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ООО «РТС – тендер» (</w:t>
            </w:r>
            <w:hyperlink r:id="rId6" w:history="1">
              <w:r w:rsidRPr="009F2837">
                <w:rPr>
                  <w:rStyle w:val="a3"/>
                  <w:sz w:val="24"/>
                  <w:szCs w:val="24"/>
                </w:rPr>
                <w:t>www.rts-tender.ru</w:t>
              </w:r>
            </w:hyperlink>
            <w:r w:rsidRPr="009F2837">
              <w:rPr>
                <w:sz w:val="24"/>
                <w:szCs w:val="24"/>
              </w:rPr>
              <w:t>)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837">
                <w:rPr>
                  <w:rStyle w:val="a3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телефон:  +</w:t>
            </w:r>
            <w:proofErr w:type="gramEnd"/>
            <w:r w:rsidRPr="009F2837">
              <w:rPr>
                <w:sz w:val="24"/>
                <w:szCs w:val="24"/>
              </w:rPr>
              <w:t xml:space="preserve">7 (3822) 98-41-99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адрес:  634029</w:t>
            </w:r>
            <w:proofErr w:type="gramEnd"/>
            <w:r w:rsidRPr="009F2837">
              <w:rPr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  <w:lang w:val="en-US"/>
              </w:rPr>
              <w:t>E</w:t>
            </w:r>
            <w:r w:rsidRPr="009F2837">
              <w:rPr>
                <w:sz w:val="24"/>
                <w:szCs w:val="24"/>
              </w:rPr>
              <w:t>-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 xml:space="preserve">: </w:t>
            </w:r>
            <w:hyperlink r:id="rId8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polyakov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9F2837">
              <w:rPr>
                <w:sz w:val="24"/>
                <w:szCs w:val="24"/>
              </w:rPr>
              <w:t xml:space="preserve">, </w:t>
            </w:r>
            <w:hyperlink r:id="rId9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malyshev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837">
              <w:rPr>
                <w:sz w:val="24"/>
                <w:szCs w:val="24"/>
              </w:rPr>
              <w:t xml:space="preserve">   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Представитель: Малышев Александр Анатольевич </w:t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9F2837">
              <w:rPr>
                <w:vanish/>
                <w:sz w:val="24"/>
                <w:szCs w:val="24"/>
              </w:rPr>
              <w:t xml:space="preserve">+7 (3822) 98-41-99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9F2837">
              <w:rPr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E-mail:</w:t>
            </w:r>
            <w:r w:rsidRPr="009F2837">
              <w:rPr>
                <w:vanish/>
                <w:sz w:val="24"/>
                <w:szCs w:val="24"/>
              </w:rPr>
              <w:t xml:space="preserve"> </w:t>
            </w:r>
            <w:hyperlink r:id="rId10" w:history="1">
              <w:r w:rsidRPr="009F2837">
                <w:rPr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9F2837">
              <w:rPr>
                <w:vanish/>
                <w:sz w:val="24"/>
                <w:szCs w:val="24"/>
              </w:rPr>
              <w:t xml:space="preserve"> , </w:t>
            </w:r>
            <w:hyperlink r:id="rId11" w:history="1">
              <w:r w:rsidRPr="009F2837">
                <w:rPr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Поляков Артем Анатольевич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7A2C1F">
        <w:tc>
          <w:tcPr>
            <w:tcW w:w="556" w:type="dxa"/>
            <w:vMerge w:val="restart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39098D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9F2837" w:rsidRDefault="009F2837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F2837">
              <w:rPr>
                <w:rFonts w:eastAsia="Times New Roman"/>
                <w:b/>
                <w:sz w:val="24"/>
                <w:szCs w:val="24"/>
              </w:rPr>
              <w:t>Сооружения электроэнергетики</w:t>
            </w:r>
            <w:r w:rsidRPr="009F2837">
              <w:rPr>
                <w:rFonts w:eastAsia="Times New Roman"/>
                <w:sz w:val="24"/>
                <w:szCs w:val="24"/>
              </w:rPr>
              <w:t>-</w:t>
            </w: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Default="00FC7192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  <w:p w:rsidR="00FC7192" w:rsidRPr="00FC7192" w:rsidRDefault="009F2837" w:rsidP="007673EF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1</w:t>
            </w:r>
            <w:r w:rsidRPr="009F283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Трансформаторная подстанция ТП 10/04 160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кВа</w:t>
            </w:r>
            <w:proofErr w:type="spellEnd"/>
            <w:r w:rsidR="000E6332">
              <w:rPr>
                <w:rFonts w:eastAsia="Times New Roman"/>
                <w:sz w:val="24"/>
                <w:szCs w:val="24"/>
              </w:rPr>
              <w:t xml:space="preserve"> 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 xml:space="preserve">2085) 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ул. Пихтовая, 18 в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="007673EF"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="007673EF"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на земельном участке общей площадью 585 м2 кадастровый № 70:04:0101004:</w:t>
            </w:r>
            <w:proofErr w:type="gramStart"/>
            <w:r w:rsidR="007673EF" w:rsidRPr="009F2837">
              <w:rPr>
                <w:rFonts w:eastAsia="Times New Roman"/>
                <w:sz w:val="24"/>
                <w:szCs w:val="24"/>
              </w:rPr>
              <w:t>1477</w:t>
            </w:r>
            <w:r w:rsidR="007673EF">
              <w:rPr>
                <w:rFonts w:eastAsia="Times New Roman"/>
                <w:sz w:val="24"/>
                <w:szCs w:val="24"/>
              </w:rPr>
              <w:t xml:space="preserve">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.</w:t>
            </w:r>
            <w:proofErr w:type="gramEnd"/>
            <w:r w:rsidRPr="009F2837">
              <w:rPr>
                <w:rFonts w:eastAsia="Times New Roman"/>
                <w:sz w:val="24"/>
                <w:szCs w:val="24"/>
              </w:rPr>
              <w:t xml:space="preserve"> </w:t>
            </w:r>
            <w:r w:rsidR="007673EF" w:rsidRPr="009F2837">
              <w:rPr>
                <w:rFonts w:eastAsia="Times New Roman"/>
                <w:sz w:val="24"/>
                <w:szCs w:val="24"/>
              </w:rPr>
              <w:t>Электрические сети ВЛИ 04-кВ</w:t>
            </w:r>
            <w:r w:rsidR="000E6332">
              <w:rPr>
                <w:rFonts w:eastAsia="Times New Roman"/>
                <w:sz w:val="24"/>
                <w:szCs w:val="24"/>
              </w:rPr>
              <w:t xml:space="preserve"> 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>2081)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 пересечение ул. Пихтовая-ул. Чкалова в районе новой застройки   1035 м, на земельном участке общей площадью 894 м2 кадастровый № 70:04:0101004:1479</w:t>
            </w:r>
            <w:r w:rsidR="00FC7192" w:rsidRPr="00C92827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7673EF" w:rsidRPr="009F2837" w:rsidRDefault="00FC7192" w:rsidP="007673EF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837">
              <w:rPr>
                <w:rFonts w:eastAsia="Times New Roman"/>
                <w:sz w:val="24"/>
                <w:szCs w:val="24"/>
              </w:rPr>
              <w:t xml:space="preserve">Трансформаторная подстанция ТП 10/04 250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кВа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(кадастровый номер </w:t>
            </w:r>
            <w:r w:rsidRPr="009F2837">
              <w:rPr>
                <w:rFonts w:eastAsia="Times New Roman"/>
                <w:sz w:val="24"/>
                <w:szCs w:val="24"/>
              </w:rPr>
              <w:t>70:04:0101004:</w:t>
            </w:r>
            <w:r>
              <w:rPr>
                <w:rFonts w:eastAsia="Times New Roman"/>
                <w:sz w:val="24"/>
                <w:szCs w:val="24"/>
              </w:rPr>
              <w:t>2084)</w:t>
            </w:r>
            <w:r w:rsidRPr="009F2837">
              <w:rPr>
                <w:rFonts w:eastAsia="Times New Roman"/>
                <w:sz w:val="24"/>
                <w:szCs w:val="24"/>
              </w:rPr>
              <w:t xml:space="preserve"> в районе новой застройки: ул. Гагарина 133А в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на земельном участке общей площадью 25 м2, кадастровый № 70:04:0101004:644</w:t>
            </w:r>
          </w:p>
          <w:p w:rsidR="009F2837" w:rsidRPr="009F2837" w:rsidRDefault="007673EF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F2837">
              <w:rPr>
                <w:rFonts w:eastAsia="Times New Roman"/>
                <w:sz w:val="24"/>
                <w:szCs w:val="24"/>
              </w:rPr>
              <w:t xml:space="preserve">Электрические сети ВЛИ 04-кВ </w:t>
            </w:r>
            <w:r w:rsidR="000E6332">
              <w:rPr>
                <w:rFonts w:eastAsia="Times New Roman"/>
                <w:sz w:val="24"/>
                <w:szCs w:val="24"/>
              </w:rPr>
              <w:t xml:space="preserve">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 xml:space="preserve">2082) </w:t>
            </w:r>
            <w:r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ул. Гагарина-ул. Линейная в границах ул. Строительная- ул. Мира в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протяженностью 256 м, на земельном участке общей площадью 2916 м2 кадастровый № 70:04:0101004:651</w:t>
            </w:r>
            <w:r w:rsidR="00C92827">
              <w:rPr>
                <w:rFonts w:eastAsia="Times New Roman"/>
                <w:sz w:val="24"/>
                <w:szCs w:val="24"/>
              </w:rPr>
              <w:t>;</w:t>
            </w:r>
          </w:p>
          <w:p w:rsidR="00FF58EE" w:rsidRPr="009F2837" w:rsidRDefault="00C92827" w:rsidP="00C92827">
            <w:pPr>
              <w:jc w:val="both"/>
              <w:rPr>
                <w:sz w:val="24"/>
                <w:szCs w:val="24"/>
              </w:rPr>
            </w:pPr>
            <w:r w:rsidRPr="009F2837">
              <w:rPr>
                <w:rFonts w:eastAsia="Times New Roman"/>
                <w:sz w:val="24"/>
                <w:szCs w:val="24"/>
              </w:rPr>
              <w:t xml:space="preserve">Электрические сети ВЛИ 04-кВ </w:t>
            </w:r>
            <w:r w:rsidR="000E6332">
              <w:rPr>
                <w:rFonts w:eastAsia="Times New Roman"/>
                <w:sz w:val="24"/>
                <w:szCs w:val="24"/>
              </w:rPr>
              <w:t xml:space="preserve">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 xml:space="preserve">2083) </w:t>
            </w:r>
            <w:r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участок автомобильной дороги по ул. Мира в границах ул. Строительная –ул. Линейная, протяженностью 542 м, на земельном участке общей площадью 653 м2 кадастровый № 70:04:0101004:1469 </w:t>
            </w:r>
          </w:p>
        </w:tc>
      </w:tr>
      <w:tr w:rsidR="0039098D" w:rsidRPr="0039098D" w:rsidTr="00181AB2">
        <w:trPr>
          <w:trHeight w:val="758"/>
        </w:trPr>
        <w:tc>
          <w:tcPr>
            <w:tcW w:w="556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75892" w:rsidRPr="00BB555D" w:rsidRDefault="001963CB" w:rsidP="00E75892">
            <w:pPr>
              <w:shd w:val="clear" w:color="auto" w:fill="EFF7FB"/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</w:t>
            </w:r>
            <w:r w:rsidR="00803964" w:rsidRPr="0039098D">
              <w:rPr>
                <w:rFonts w:eastAsia="Times New Roman"/>
                <w:sz w:val="24"/>
                <w:szCs w:val="24"/>
              </w:rPr>
              <w:t>.</w:t>
            </w:r>
            <w:r w:rsidR="00E75892" w:rsidRPr="00E758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75892" w:rsidRPr="00BB555D">
              <w:rPr>
                <w:rFonts w:eastAsia="Times New Roman"/>
                <w:sz w:val="24"/>
                <w:szCs w:val="24"/>
              </w:rPr>
              <w:t>В отношении приобретаемого имущества продавцом установлены следующие эксплуатационные обязательства, которые обязан выполнять Покупатель:</w:t>
            </w:r>
          </w:p>
          <w:p w:rsidR="00E75892" w:rsidRPr="00BB555D" w:rsidRDefault="00E75892" w:rsidP="00E75892">
            <w:pPr>
              <w:suppressAutoHyphens/>
              <w:ind w:right="57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BB555D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э</w:t>
            </w:r>
            <w:r w:rsidRPr="00BB555D">
              <w:rPr>
                <w:rFonts w:eastAsia="Times New Roman"/>
                <w:sz w:val="24"/>
                <w:szCs w:val="24"/>
                <w:lang w:eastAsia="ar-SA"/>
              </w:rPr>
              <w:t>ксплуатация объектов электросетевого хозяйства осуществляется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229;</w:t>
            </w:r>
          </w:p>
          <w:p w:rsidR="00E75892" w:rsidRPr="00BB555D" w:rsidRDefault="00E75892" w:rsidP="00E75892">
            <w:pPr>
              <w:autoSpaceDE w:val="0"/>
              <w:autoSpaceDN w:val="0"/>
              <w:adjustRightInd w:val="0"/>
              <w:ind w:right="5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55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- электроснабжение потребителей осуществляется с соблюдением требований </w:t>
            </w:r>
            <w:r w:rsidRPr="00BB555D">
              <w:rPr>
                <w:rFonts w:eastAsia="Times New Roman"/>
                <w:sz w:val="24"/>
                <w:szCs w:val="24"/>
                <w:lang w:eastAsia="en-US"/>
              </w:rPr>
              <w:t>постановления Правительства Российской Федерации                        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      </w:r>
          </w:p>
          <w:p w:rsidR="00E75892" w:rsidRPr="00BB555D" w:rsidRDefault="00E75892" w:rsidP="00E75892">
            <w:pPr>
              <w:suppressAutoHyphens/>
              <w:ind w:right="57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BB555D">
              <w:rPr>
                <w:rFonts w:eastAsia="Times New Roman"/>
                <w:bCs/>
                <w:sz w:val="24"/>
                <w:szCs w:val="24"/>
                <w:lang w:eastAsia="ar-SA"/>
              </w:rPr>
              <w:t>-    о</w:t>
            </w:r>
            <w:r w:rsidRPr="00BB555D">
              <w:rPr>
                <w:rFonts w:eastAsia="Times New Roman"/>
                <w:sz w:val="24"/>
                <w:szCs w:val="24"/>
                <w:lang w:eastAsia="ar-SA"/>
              </w:rPr>
              <w:t xml:space="preserve">беспечение требований к качеству электроэнергии согласно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 При внесении изменений в перечисленные в пункте 4 настоящего постановления нормативно-правовые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пункте 4 настоящего постановления нормативно-правовых актов, Покупатель обязан исполнять требования действующего законодательства для </w:t>
            </w:r>
            <w:r w:rsidRPr="00BB555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      </w:r>
          </w:p>
          <w:p w:rsidR="001963CB" w:rsidRPr="0039098D" w:rsidRDefault="001963CB" w:rsidP="00E758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39098D" w:rsidRDefault="007A1019" w:rsidP="007673E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Продажа </w:t>
            </w:r>
            <w:r w:rsidR="007673EF">
              <w:rPr>
                <w:rFonts w:eastAsia="Times New Roman"/>
                <w:sz w:val="24"/>
                <w:szCs w:val="24"/>
              </w:rPr>
              <w:t>недвижимого имущества - сооружения электроэнергетики, на аукционе</w:t>
            </w:r>
            <w:r w:rsidR="00B330BC">
              <w:rPr>
                <w:rFonts w:eastAsia="Times New Roman"/>
                <w:sz w:val="24"/>
                <w:szCs w:val="24"/>
              </w:rPr>
              <w:t xml:space="preserve"> посредством публичного предложения</w:t>
            </w:r>
            <w:r w:rsidR="007673EF">
              <w:rPr>
                <w:rFonts w:eastAsia="Times New Roman"/>
                <w:sz w:val="24"/>
                <w:szCs w:val="24"/>
              </w:rPr>
              <w:t xml:space="preserve"> </w:t>
            </w:r>
            <w:r w:rsidR="00310580" w:rsidRPr="0039098D">
              <w:rPr>
                <w:rFonts w:eastAsia="Times New Roman"/>
                <w:sz w:val="24"/>
                <w:szCs w:val="24"/>
              </w:rPr>
              <w:t>в электронной форме</w:t>
            </w:r>
          </w:p>
        </w:tc>
      </w:tr>
      <w:tr w:rsidR="0039098D" w:rsidRPr="0039098D" w:rsidTr="007A2C1F">
        <w:trPr>
          <w:trHeight w:val="278"/>
        </w:trPr>
        <w:tc>
          <w:tcPr>
            <w:tcW w:w="556" w:type="dxa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39098D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422F43" w:rsidRDefault="007673EF" w:rsidP="00422F43">
            <w:pPr>
              <w:rPr>
                <w:sz w:val="24"/>
                <w:szCs w:val="24"/>
              </w:rPr>
            </w:pPr>
            <w:r w:rsidRPr="00C92827">
              <w:rPr>
                <w:b/>
                <w:sz w:val="24"/>
                <w:szCs w:val="24"/>
              </w:rPr>
              <w:t>Лот № 1</w:t>
            </w:r>
            <w:r w:rsidR="00C92827">
              <w:rPr>
                <w:sz w:val="24"/>
                <w:szCs w:val="24"/>
              </w:rPr>
              <w:t xml:space="preserve">. </w:t>
            </w:r>
            <w:r w:rsidR="00087D51">
              <w:rPr>
                <w:sz w:val="24"/>
                <w:szCs w:val="24"/>
              </w:rPr>
              <w:t>620440</w:t>
            </w:r>
            <w:r w:rsidR="00C92827">
              <w:rPr>
                <w:sz w:val="24"/>
                <w:szCs w:val="24"/>
              </w:rPr>
              <w:t xml:space="preserve"> (</w:t>
            </w:r>
            <w:r w:rsidR="00087D51">
              <w:rPr>
                <w:sz w:val="24"/>
                <w:szCs w:val="24"/>
              </w:rPr>
              <w:t>шестьсот двадцать</w:t>
            </w:r>
            <w:r w:rsidR="00C92827">
              <w:rPr>
                <w:sz w:val="24"/>
                <w:szCs w:val="24"/>
              </w:rPr>
              <w:t xml:space="preserve"> тысяч</w:t>
            </w:r>
            <w:r w:rsidR="00087D51">
              <w:rPr>
                <w:sz w:val="24"/>
                <w:szCs w:val="24"/>
              </w:rPr>
              <w:t xml:space="preserve"> четыреста сорок</w:t>
            </w:r>
            <w:r w:rsidR="00C928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422F43" w:rsidRPr="003752A2">
              <w:rPr>
                <w:sz w:val="24"/>
                <w:szCs w:val="24"/>
              </w:rPr>
              <w:t>рублей</w:t>
            </w:r>
            <w:r w:rsidR="00422F43">
              <w:rPr>
                <w:sz w:val="24"/>
                <w:szCs w:val="24"/>
              </w:rPr>
              <w:t xml:space="preserve"> 00 копеек</w:t>
            </w:r>
            <w:r w:rsidR="00C92827">
              <w:rPr>
                <w:sz w:val="24"/>
                <w:szCs w:val="24"/>
              </w:rPr>
              <w:t>;</w:t>
            </w:r>
          </w:p>
          <w:p w:rsidR="006B26F4" w:rsidRPr="0039098D" w:rsidRDefault="00C92827" w:rsidP="00B330BC">
            <w:pPr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2.  </w:t>
            </w:r>
            <w:r w:rsidR="00087D51" w:rsidRPr="00087D51">
              <w:rPr>
                <w:sz w:val="24"/>
                <w:szCs w:val="24"/>
              </w:rPr>
              <w:t>675820</w:t>
            </w:r>
            <w:r>
              <w:rPr>
                <w:sz w:val="24"/>
                <w:szCs w:val="24"/>
              </w:rPr>
              <w:t xml:space="preserve"> (</w:t>
            </w:r>
            <w:r w:rsidR="00087D51">
              <w:rPr>
                <w:sz w:val="24"/>
                <w:szCs w:val="24"/>
              </w:rPr>
              <w:t>шестьсот семьдесят пять тысяч восемьсот двадцать) р</w:t>
            </w:r>
            <w:r w:rsidRPr="003752A2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 xml:space="preserve"> 00 копеек;</w:t>
            </w:r>
          </w:p>
        </w:tc>
      </w:tr>
      <w:tr w:rsidR="00B330BC" w:rsidRPr="0039098D" w:rsidTr="007A2C1F">
        <w:trPr>
          <w:trHeight w:val="278"/>
        </w:trPr>
        <w:tc>
          <w:tcPr>
            <w:tcW w:w="556" w:type="dxa"/>
          </w:tcPr>
          <w:p w:rsidR="00B330BC" w:rsidRPr="0039098D" w:rsidRDefault="00B330BC" w:rsidP="00B330B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B330BC" w:rsidRPr="00F311E1" w:rsidRDefault="00B330BC" w:rsidP="00B330B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  <w:r w:rsidR="001C5C5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0BC" w:rsidRDefault="00B330BC" w:rsidP="00B330BC">
            <w:pPr>
              <w:rPr>
                <w:sz w:val="24"/>
                <w:szCs w:val="24"/>
              </w:rPr>
            </w:pPr>
            <w:r w:rsidRPr="00C92827">
              <w:rPr>
                <w:b/>
                <w:sz w:val="24"/>
                <w:szCs w:val="24"/>
              </w:rPr>
              <w:t>Лот № 1</w:t>
            </w:r>
            <w:r>
              <w:rPr>
                <w:sz w:val="24"/>
                <w:szCs w:val="24"/>
              </w:rPr>
              <w:t>. 31022 (тридцать одна тысяча двадцать два) рублей 00 коп</w:t>
            </w:r>
          </w:p>
          <w:p w:rsidR="00B330BC" w:rsidRPr="00B330BC" w:rsidRDefault="00B330BC" w:rsidP="00B330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2</w:t>
            </w:r>
            <w:r w:rsidR="001C5C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30BC">
              <w:rPr>
                <w:sz w:val="24"/>
                <w:szCs w:val="24"/>
              </w:rPr>
              <w:t>33791</w:t>
            </w:r>
            <w:r>
              <w:rPr>
                <w:sz w:val="24"/>
                <w:szCs w:val="24"/>
              </w:rPr>
              <w:t xml:space="preserve">(тридцать три тысячи семьсот девяносто один) </w:t>
            </w:r>
            <w:r w:rsidR="001C5C5B">
              <w:rPr>
                <w:sz w:val="24"/>
                <w:szCs w:val="24"/>
              </w:rPr>
              <w:t>рублей 00 копеек</w:t>
            </w:r>
          </w:p>
          <w:p w:rsidR="00B330BC" w:rsidRPr="00C92827" w:rsidRDefault="00C56E5E" w:rsidP="00B330BC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(пять) процентов начальной цены продажи и не изменяется в течение всего аукциона</w:t>
            </w:r>
          </w:p>
        </w:tc>
      </w:tr>
      <w:tr w:rsidR="00B330BC" w:rsidRPr="0039098D" w:rsidTr="007A2C1F">
        <w:trPr>
          <w:trHeight w:val="278"/>
        </w:trPr>
        <w:tc>
          <w:tcPr>
            <w:tcW w:w="556" w:type="dxa"/>
          </w:tcPr>
          <w:p w:rsidR="00B330BC" w:rsidRPr="0039098D" w:rsidRDefault="00B330BC" w:rsidP="00B330B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B330BC" w:rsidRPr="00F311E1" w:rsidRDefault="00B330BC" w:rsidP="00B330B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</w:p>
        </w:tc>
        <w:tc>
          <w:tcPr>
            <w:tcW w:w="6804" w:type="dxa"/>
          </w:tcPr>
          <w:p w:rsidR="00B330BC" w:rsidRDefault="00B330BC" w:rsidP="00B330BC">
            <w:pPr>
              <w:rPr>
                <w:sz w:val="24"/>
                <w:szCs w:val="24"/>
              </w:rPr>
            </w:pPr>
            <w:r w:rsidRPr="00C92827">
              <w:rPr>
                <w:b/>
                <w:sz w:val="24"/>
                <w:szCs w:val="24"/>
              </w:rPr>
              <w:t>Лот № 1</w:t>
            </w:r>
            <w:r>
              <w:rPr>
                <w:sz w:val="24"/>
                <w:szCs w:val="24"/>
              </w:rPr>
              <w:t>.</w:t>
            </w:r>
            <w:r w:rsidR="001C5C5B">
              <w:rPr>
                <w:sz w:val="24"/>
                <w:szCs w:val="24"/>
              </w:rPr>
              <w:t xml:space="preserve"> 62044 (шестьдесят две тысячи сорок четыре) рублей 00 копеек</w:t>
            </w:r>
          </w:p>
          <w:p w:rsidR="00B330BC" w:rsidRPr="00C92827" w:rsidRDefault="00B330BC" w:rsidP="00B330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2. </w:t>
            </w:r>
            <w:r w:rsidR="001C5C5B" w:rsidRPr="001C5C5B">
              <w:rPr>
                <w:sz w:val="24"/>
                <w:szCs w:val="24"/>
              </w:rPr>
              <w:t>67582</w:t>
            </w:r>
            <w:r w:rsidRPr="001C5C5B">
              <w:rPr>
                <w:sz w:val="24"/>
                <w:szCs w:val="24"/>
              </w:rPr>
              <w:t xml:space="preserve"> </w:t>
            </w:r>
            <w:r w:rsidR="001C5C5B" w:rsidRPr="001C5C5B">
              <w:rPr>
                <w:sz w:val="24"/>
                <w:szCs w:val="24"/>
              </w:rPr>
              <w:t>(шестьдесят</w:t>
            </w:r>
            <w:r w:rsidR="001C5C5B">
              <w:rPr>
                <w:sz w:val="24"/>
                <w:szCs w:val="24"/>
              </w:rPr>
              <w:t xml:space="preserve"> семь тысяч пятьсот восемьдесят два) рублей 00 копеек</w:t>
            </w:r>
          </w:p>
        </w:tc>
      </w:tr>
      <w:tr w:rsidR="00B330BC" w:rsidRPr="0039098D" w:rsidTr="007A2C1F">
        <w:trPr>
          <w:trHeight w:val="278"/>
        </w:trPr>
        <w:tc>
          <w:tcPr>
            <w:tcW w:w="556" w:type="dxa"/>
          </w:tcPr>
          <w:p w:rsidR="00B330BC" w:rsidRPr="0039098D" w:rsidRDefault="00B330BC" w:rsidP="00B330B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B330BC" w:rsidRPr="00F311E1" w:rsidRDefault="00B330BC" w:rsidP="00B330B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Минимальная цена предложения («цена отсечения»)</w:t>
            </w:r>
          </w:p>
        </w:tc>
        <w:tc>
          <w:tcPr>
            <w:tcW w:w="6804" w:type="dxa"/>
          </w:tcPr>
          <w:p w:rsidR="00B330BC" w:rsidRDefault="00B330BC" w:rsidP="00B330BC">
            <w:pPr>
              <w:rPr>
                <w:sz w:val="24"/>
                <w:szCs w:val="24"/>
              </w:rPr>
            </w:pPr>
            <w:r w:rsidRPr="00C92827">
              <w:rPr>
                <w:b/>
                <w:sz w:val="24"/>
                <w:szCs w:val="24"/>
              </w:rPr>
              <w:t>Лот № 1</w:t>
            </w:r>
            <w:r>
              <w:rPr>
                <w:sz w:val="24"/>
                <w:szCs w:val="24"/>
              </w:rPr>
              <w:t>.</w:t>
            </w:r>
            <w:r w:rsidR="00C56E5E">
              <w:rPr>
                <w:sz w:val="24"/>
                <w:szCs w:val="24"/>
              </w:rPr>
              <w:t xml:space="preserve"> 310220 (триста десять тысяч двести двадцать) рублей 00 копеек</w:t>
            </w:r>
          </w:p>
          <w:p w:rsidR="00B330BC" w:rsidRPr="00C56E5E" w:rsidRDefault="00B330BC" w:rsidP="00B330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2</w:t>
            </w:r>
            <w:r w:rsidR="00C56E5E">
              <w:rPr>
                <w:b/>
                <w:sz w:val="24"/>
                <w:szCs w:val="24"/>
              </w:rPr>
              <w:t xml:space="preserve">. </w:t>
            </w:r>
            <w:r w:rsidR="00C56E5E">
              <w:rPr>
                <w:sz w:val="24"/>
                <w:szCs w:val="24"/>
              </w:rPr>
              <w:t>337910 (триста тридцать семь тысяч девятьсот десять) рублей 00 копеек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39098D">
              <w:rPr>
                <w:rFonts w:eastAsia="Times New Roman"/>
                <w:b/>
                <w:sz w:val="24"/>
                <w:szCs w:val="24"/>
              </w:rPr>
              <w:t>й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39098D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Открытая</w:t>
            </w:r>
            <w:r w:rsidR="00B7386E">
              <w:rPr>
                <w:rFonts w:eastAsia="Times New Roman"/>
                <w:sz w:val="24"/>
                <w:szCs w:val="24"/>
              </w:rPr>
              <w:t>, электронный аукцион</w:t>
            </w:r>
          </w:p>
        </w:tc>
      </w:tr>
      <w:tr w:rsidR="0039098D" w:rsidRPr="0039098D" w:rsidTr="007A2C1F">
        <w:tc>
          <w:tcPr>
            <w:tcW w:w="556" w:type="dxa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6B26F4" w:rsidRPr="0039098D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39098D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</w:t>
            </w:r>
            <w:r w:rsidR="00AB2BAF">
              <w:rPr>
                <w:rFonts w:eastAsia="Times New Roman"/>
                <w:sz w:val="24"/>
                <w:szCs w:val="24"/>
              </w:rPr>
              <w:t xml:space="preserve">не позднее </w:t>
            </w:r>
            <w:r w:rsidR="008C3343">
              <w:rPr>
                <w:rFonts w:eastAsia="Times New Roman"/>
                <w:sz w:val="24"/>
                <w:szCs w:val="24"/>
              </w:rPr>
              <w:t>30 (тридцати)</w:t>
            </w:r>
            <w:r w:rsidRPr="008C3343">
              <w:rPr>
                <w:rFonts w:eastAsia="Times New Roman"/>
                <w:sz w:val="24"/>
                <w:szCs w:val="24"/>
              </w:rPr>
              <w:t xml:space="preserve">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92EE8" w:rsidRPr="0039098D" w:rsidRDefault="0082249A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</w:t>
            </w:r>
            <w:r w:rsidR="006B26F4" w:rsidRPr="0039098D">
              <w:rPr>
                <w:rFonts w:eastAsia="Times New Roman"/>
                <w:sz w:val="24"/>
                <w:szCs w:val="24"/>
              </w:rPr>
              <w:t>еквизит</w:t>
            </w:r>
            <w:r w:rsidRPr="0039098D">
              <w:rPr>
                <w:rFonts w:eastAsia="Times New Roman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39098D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292304" w:rsidRPr="0039098D" w:rsidRDefault="00992EE8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Получатель: 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ИНН </w:t>
            </w:r>
            <w:r w:rsidR="00292304" w:rsidRPr="0039098D">
              <w:rPr>
                <w:sz w:val="24"/>
                <w:szCs w:val="24"/>
              </w:rPr>
              <w:t>700400</w:t>
            </w:r>
            <w:r w:rsidR="002B0A84">
              <w:rPr>
                <w:sz w:val="24"/>
                <w:szCs w:val="24"/>
              </w:rPr>
              <w:t>5098</w:t>
            </w:r>
            <w:r w:rsidR="00292304" w:rsidRPr="0039098D">
              <w:rPr>
                <w:rFonts w:eastAsia="Times New Roman"/>
                <w:sz w:val="24"/>
                <w:szCs w:val="24"/>
              </w:rPr>
              <w:t>, КПП 70</w:t>
            </w:r>
            <w:r w:rsidR="002B0A84">
              <w:rPr>
                <w:rFonts w:eastAsia="Times New Roman"/>
                <w:sz w:val="24"/>
                <w:szCs w:val="24"/>
              </w:rPr>
              <w:t>0</w:t>
            </w:r>
            <w:r w:rsidR="00292304" w:rsidRPr="0039098D">
              <w:rPr>
                <w:rFonts w:eastAsia="Times New Roman"/>
                <w:sz w:val="24"/>
                <w:szCs w:val="24"/>
              </w:rPr>
              <w:t>4</w:t>
            </w:r>
            <w:r w:rsidR="0082249A" w:rsidRPr="0039098D">
              <w:rPr>
                <w:rFonts w:eastAsia="Times New Roman"/>
                <w:sz w:val="24"/>
                <w:szCs w:val="24"/>
              </w:rPr>
              <w:t>01001</w:t>
            </w:r>
            <w:r w:rsidR="00292304" w:rsidRPr="0039098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2249A" w:rsidRPr="0039098D" w:rsidRDefault="00292304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ОГРН 10</w:t>
            </w:r>
            <w:r w:rsidR="002B0A84">
              <w:rPr>
                <w:rFonts w:eastAsia="Times New Roman"/>
                <w:sz w:val="24"/>
                <w:szCs w:val="24"/>
              </w:rPr>
              <w:t>57008448980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УФК по Томской области (Администрация Белоярского городского поселения)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л/с 04653006690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 xml:space="preserve">Расчетный счет № 40101810900000010007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Наименование банка: Отделени</w:t>
            </w:r>
            <w:r w:rsidR="00CF23DE" w:rsidRPr="00AB2BAF">
              <w:rPr>
                <w:sz w:val="24"/>
                <w:szCs w:val="24"/>
              </w:rPr>
              <w:t>е</w:t>
            </w:r>
            <w:r w:rsidRPr="00AB2BAF">
              <w:rPr>
                <w:sz w:val="24"/>
                <w:szCs w:val="24"/>
              </w:rPr>
              <w:t xml:space="preserve"> по Томской области Сибирского главного управления Центрального банка РФ (сокращенное наименование – отделение Томск), г. Томск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 xml:space="preserve">БИК 046902001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ОКПО 04254520</w:t>
            </w:r>
          </w:p>
          <w:p w:rsidR="006B26F4" w:rsidRPr="0039098D" w:rsidRDefault="006B26F4" w:rsidP="008224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AF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AB2BAF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AB2BAF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AB2BAF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CF23DE">
        <w:trPr>
          <w:trHeight w:val="3810"/>
        </w:trPr>
        <w:tc>
          <w:tcPr>
            <w:tcW w:w="556" w:type="dxa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2B0A84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182AE0" w:rsidRPr="0039098D">
              <w:rPr>
                <w:rFonts w:eastAsia="Times New Roman"/>
                <w:sz w:val="24"/>
                <w:szCs w:val="24"/>
              </w:rPr>
              <w:t>20% начальной цены имущества</w:t>
            </w:r>
          </w:p>
          <w:p w:rsidR="00060D34" w:rsidRPr="0039098D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39098D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39098D">
              <w:rPr>
                <w:rFonts w:eastAsia="Times New Roman"/>
                <w:sz w:val="24"/>
                <w:szCs w:val="24"/>
              </w:rPr>
              <w:t>с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8C3343">
              <w:rPr>
                <w:rFonts w:eastAsia="Times New Roman"/>
                <w:b/>
                <w:sz w:val="24"/>
                <w:szCs w:val="24"/>
              </w:rPr>
              <w:t>20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»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C3343">
              <w:rPr>
                <w:rFonts w:eastAsia="Times New Roman"/>
                <w:b/>
                <w:sz w:val="24"/>
                <w:szCs w:val="24"/>
              </w:rPr>
              <w:t>апреля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2020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8C3343">
              <w:rPr>
                <w:rFonts w:eastAsia="Times New Roman"/>
                <w:b/>
                <w:sz w:val="24"/>
                <w:szCs w:val="24"/>
              </w:rPr>
              <w:t>18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8C3343">
              <w:rPr>
                <w:rFonts w:eastAsia="Times New Roman"/>
                <w:b/>
                <w:sz w:val="24"/>
                <w:szCs w:val="24"/>
              </w:rPr>
              <w:t>ма</w:t>
            </w:r>
            <w:r w:rsidR="00B22EA6">
              <w:rPr>
                <w:rFonts w:eastAsia="Times New Roman"/>
                <w:b/>
                <w:sz w:val="24"/>
                <w:szCs w:val="24"/>
              </w:rPr>
              <w:t>я</w:t>
            </w:r>
            <w:r w:rsidR="00D62CC6" w:rsidRPr="002B0A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20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5BB8" w:rsidRPr="0039098D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39098D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39098D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39098D"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spacing w:after="0" w:afterAutospacing="0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Расчетный счёт 40702810600005001156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Корр. счёт 30101810945250000967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БИК 044525967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ИНН 7710357167</w:t>
            </w:r>
            <w:r w:rsidR="008C7DEB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КПП 773001001 </w:t>
            </w:r>
          </w:p>
          <w:p w:rsidR="008C7DEB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Назначение платежа</w:t>
            </w:r>
            <w:r w:rsidR="008C7DEB" w:rsidRPr="0039098D">
              <w:rPr>
                <w:rFonts w:eastAsia="Times New Roman"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№ аналитического счета _________, без НДС</w:t>
            </w:r>
            <w:r w:rsidR="008C7DEB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8C7DEB" w:rsidRPr="0039098D" w:rsidRDefault="008C7DEB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39098D">
              <w:rPr>
                <w:rFonts w:eastAsia="Times New Roman"/>
                <w:sz w:val="24"/>
                <w:szCs w:val="24"/>
              </w:rPr>
              <w:t>счет,  является</w:t>
            </w:r>
            <w:proofErr w:type="gramEnd"/>
            <w:r w:rsidRPr="0039098D">
              <w:rPr>
                <w:rFonts w:eastAsia="Times New Roman"/>
                <w:sz w:val="24"/>
                <w:szCs w:val="24"/>
              </w:rPr>
              <w:t xml:space="preserve"> выписка с этого счета.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4.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5.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: 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6.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lastRenderedPageBreak/>
              <w:t>7.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>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8.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9.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10</w:t>
            </w:r>
            <w:r w:rsidR="00165BB8" w:rsidRPr="0039098D">
              <w:rPr>
                <w:b/>
                <w:color w:val="auto"/>
                <w:sz w:val="24"/>
                <w:szCs w:val="24"/>
              </w:rPr>
              <w:t>.</w:t>
            </w:r>
            <w:r w:rsidRPr="0039098D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4534E4" w:rsidP="00CF23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11</w:t>
            </w:r>
            <w:r w:rsidR="00165BB8" w:rsidRPr="0039098D">
              <w:rPr>
                <w:b/>
                <w:sz w:val="24"/>
                <w:szCs w:val="24"/>
              </w:rPr>
              <w:t>.</w:t>
            </w:r>
            <w:r w:rsidRPr="0039098D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1" w:type="dxa"/>
          </w:tcPr>
          <w:p w:rsidR="00060D34" w:rsidRPr="0039098D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060D34" w:rsidRPr="0039098D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39098D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39098D" w:rsidRDefault="008C7DEB" w:rsidP="00EB2C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</w:t>
            </w:r>
            <w:r w:rsidR="00EB2C92">
              <w:rPr>
                <w:rFonts w:eastAsia="Times New Roman"/>
                <w:sz w:val="24"/>
                <w:szCs w:val="24"/>
              </w:rPr>
              <w:t xml:space="preserve"> на каждый лот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EB2C92" w:rsidP="008C334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8C3343">
              <w:rPr>
                <w:rFonts w:eastAsia="Times New Roman"/>
                <w:b/>
                <w:sz w:val="24"/>
                <w:szCs w:val="24"/>
              </w:rPr>
              <w:t>20</w:t>
            </w:r>
            <w:r w:rsidR="005A1BA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C3343">
              <w:rPr>
                <w:rFonts w:eastAsia="Times New Roman"/>
                <w:b/>
                <w:sz w:val="24"/>
                <w:szCs w:val="24"/>
              </w:rPr>
              <w:t>апреля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39098D">
              <w:rPr>
                <w:rFonts w:eastAsia="Times New Roman"/>
                <w:sz w:val="24"/>
                <w:szCs w:val="24"/>
              </w:rPr>
              <w:t>09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00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EB2C92" w:rsidP="008C334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5A1BA3">
              <w:rPr>
                <w:rFonts w:eastAsia="Times New Roman"/>
                <w:b/>
                <w:sz w:val="24"/>
                <w:szCs w:val="24"/>
              </w:rPr>
              <w:t>1</w:t>
            </w:r>
            <w:r w:rsidR="008C3343">
              <w:rPr>
                <w:rFonts w:eastAsia="Times New Roman"/>
                <w:b/>
                <w:sz w:val="24"/>
                <w:szCs w:val="24"/>
              </w:rPr>
              <w:t>8</w:t>
            </w:r>
            <w:r w:rsidR="00CB2A7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C3343">
              <w:rPr>
                <w:rFonts w:eastAsia="Times New Roman"/>
                <w:b/>
                <w:sz w:val="24"/>
                <w:szCs w:val="24"/>
              </w:rPr>
              <w:t>ма</w:t>
            </w:r>
            <w:r w:rsidR="00CB2A77">
              <w:rPr>
                <w:rFonts w:eastAsia="Times New Roman"/>
                <w:b/>
                <w:sz w:val="24"/>
                <w:szCs w:val="24"/>
              </w:rPr>
              <w:t>я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803964" w:rsidRPr="0039098D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1</w:t>
            </w:r>
            <w:r w:rsidR="002B0A84">
              <w:rPr>
                <w:rFonts w:eastAsia="Times New Roman"/>
                <w:sz w:val="24"/>
                <w:szCs w:val="24"/>
              </w:rPr>
              <w:t>7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060D34" w:rsidRPr="0039098D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39098D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39098D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060D34" w:rsidRPr="0039098D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39098D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</w:t>
            </w:r>
            <w:proofErr w:type="spellStart"/>
            <w:r w:rsidRPr="00E550C4">
              <w:rPr>
                <w:sz w:val="24"/>
                <w:szCs w:val="24"/>
              </w:rPr>
              <w:t>Верхнекетский</w:t>
            </w:r>
            <w:proofErr w:type="spellEnd"/>
            <w:r w:rsidRPr="00E550C4">
              <w:rPr>
                <w:sz w:val="24"/>
                <w:szCs w:val="24"/>
              </w:rPr>
              <w:t xml:space="preserve"> район, </w:t>
            </w:r>
            <w:proofErr w:type="spellStart"/>
            <w:r w:rsidRPr="00E550C4">
              <w:rPr>
                <w:sz w:val="24"/>
                <w:szCs w:val="24"/>
              </w:rPr>
              <w:t>р.п</w:t>
            </w:r>
            <w:proofErr w:type="spellEnd"/>
            <w:r w:rsidRPr="00E550C4">
              <w:rPr>
                <w:sz w:val="24"/>
                <w:szCs w:val="24"/>
              </w:rPr>
              <w:t xml:space="preserve">. Белый Яр, ул. Гагарина, д. 19, Администрация Белоярского городского поселения номера телефонов: (38258) 2-37-07. 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E550C4">
                <w:rPr>
                  <w:rStyle w:val="a3"/>
                  <w:sz w:val="24"/>
                  <w:szCs w:val="24"/>
                </w:rPr>
                <w:t>https://www.torgi.gov.гu</w:t>
              </w:r>
            </w:hyperlink>
            <w:r w:rsidRPr="00E550C4">
              <w:rPr>
                <w:sz w:val="24"/>
                <w:szCs w:val="24"/>
              </w:rPr>
              <w:t>,</w:t>
            </w:r>
          </w:p>
          <w:p w:rsidR="00962EDE" w:rsidRPr="0039098D" w:rsidRDefault="002B0A84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на официальном сайте Администрации Белоярского городского поселения </w:t>
            </w:r>
            <w:proofErr w:type="spellStart"/>
            <w:r w:rsidRPr="00E550C4">
              <w:rPr>
                <w:sz w:val="24"/>
                <w:szCs w:val="24"/>
              </w:rPr>
              <w:t>Верхнекетского</w:t>
            </w:r>
            <w:proofErr w:type="spellEnd"/>
            <w:r w:rsidRPr="00E550C4">
              <w:rPr>
                <w:sz w:val="24"/>
                <w:szCs w:val="24"/>
              </w:rPr>
              <w:t xml:space="preserve"> района Томской </w:t>
            </w:r>
            <w:proofErr w:type="gramStart"/>
            <w:r w:rsidRPr="00E550C4">
              <w:rPr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7A2C1F">
        <w:tc>
          <w:tcPr>
            <w:tcW w:w="556" w:type="dxa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</w:tcPr>
          <w:p w:rsidR="00F0127D" w:rsidRPr="0039098D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39098D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39098D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39098D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9098D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39098D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39098D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39098D" w:rsidTr="007A2C1F">
        <w:tc>
          <w:tcPr>
            <w:tcW w:w="556" w:type="dxa"/>
          </w:tcPr>
          <w:p w:rsidR="007E50A9" w:rsidRPr="0039098D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39098D" w:rsidRDefault="007E50A9" w:rsidP="00F0127D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39098D" w:rsidRDefault="00AF191B" w:rsidP="008C33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«</w:t>
            </w:r>
            <w:r w:rsidR="008C3343">
              <w:rPr>
                <w:rFonts w:eastAsia="Times New Roman"/>
                <w:b/>
                <w:sz w:val="24"/>
                <w:szCs w:val="24"/>
              </w:rPr>
              <w:t>20</w:t>
            </w:r>
            <w:r w:rsidR="005F53F0">
              <w:rPr>
                <w:rFonts w:eastAsia="Times New Roman"/>
                <w:b/>
                <w:sz w:val="24"/>
                <w:szCs w:val="24"/>
              </w:rPr>
              <w:t>»</w:t>
            </w:r>
            <w:r w:rsidR="008C3343">
              <w:rPr>
                <w:rFonts w:eastAsia="Times New Roman"/>
                <w:b/>
                <w:sz w:val="24"/>
                <w:szCs w:val="24"/>
              </w:rPr>
              <w:t xml:space="preserve"> ма</w:t>
            </w:r>
            <w:r w:rsidR="000C75BF">
              <w:rPr>
                <w:rFonts w:eastAsia="Times New Roman"/>
                <w:b/>
                <w:sz w:val="24"/>
                <w:szCs w:val="24"/>
              </w:rPr>
              <w:t>я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39098D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962EDE" w:rsidRPr="0039098D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962EDE" w:rsidRPr="0039098D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39098D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Pr="00F36774">
              <w:rPr>
                <w:rFonts w:eastAsia="Times New Roman"/>
                <w:b/>
                <w:sz w:val="24"/>
                <w:szCs w:val="24"/>
              </w:rPr>
              <w:t>Аукцион, в котором принял участие только один участник, признается несостоявшимся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962ED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62EDE" w:rsidRPr="0039098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962EDE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A620A" w:rsidRPr="0039098D" w:rsidRDefault="00962EDE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</w:t>
            </w:r>
            <w:r w:rsidR="004A620A" w:rsidRPr="0039098D">
              <w:rPr>
                <w:rFonts w:eastAsia="Times New Roman"/>
                <w:b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1963CB" w:rsidRPr="0039098D" w:rsidRDefault="004A620A" w:rsidP="00F3677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0C75BF">
              <w:rPr>
                <w:rFonts w:eastAsia="Times New Roman"/>
                <w:b/>
                <w:sz w:val="24"/>
                <w:szCs w:val="24"/>
              </w:rPr>
              <w:t>2</w:t>
            </w:r>
            <w:r w:rsidR="00F36774">
              <w:rPr>
                <w:rFonts w:eastAsia="Times New Roman"/>
                <w:b/>
                <w:sz w:val="24"/>
                <w:szCs w:val="24"/>
              </w:rPr>
              <w:t>2</w:t>
            </w:r>
            <w:r w:rsidR="000C75B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36774">
              <w:rPr>
                <w:rFonts w:eastAsia="Times New Roman"/>
                <w:b/>
                <w:sz w:val="24"/>
                <w:szCs w:val="24"/>
              </w:rPr>
              <w:t>ма</w:t>
            </w:r>
            <w:r w:rsidR="000C75BF">
              <w:rPr>
                <w:rFonts w:eastAsia="Times New Roman"/>
                <w:b/>
                <w:sz w:val="24"/>
                <w:szCs w:val="24"/>
              </w:rPr>
              <w:t>я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2020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в </w:t>
            </w:r>
            <w:r w:rsidR="000C75BF" w:rsidRPr="000C75BF">
              <w:rPr>
                <w:rFonts w:eastAsia="Times New Roman"/>
                <w:b/>
                <w:sz w:val="24"/>
                <w:szCs w:val="24"/>
              </w:rPr>
              <w:t>10</w:t>
            </w:r>
            <w:r w:rsidR="001963CB" w:rsidRPr="000C75B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часов 00 минут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по томскому времени</w:t>
            </w:r>
          </w:p>
        </w:tc>
      </w:tr>
      <w:tr w:rsidR="001963CB" w:rsidRPr="0039098D" w:rsidTr="007A2C1F">
        <w:tc>
          <w:tcPr>
            <w:tcW w:w="556" w:type="dxa"/>
          </w:tcPr>
          <w:p w:rsidR="001963CB" w:rsidRPr="0039098D" w:rsidRDefault="004A62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1963CB" w:rsidRPr="0039098D" w:rsidRDefault="008B3E02" w:rsidP="000C75B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Имущество </w:t>
            </w:r>
            <w:r w:rsidR="00F36774">
              <w:rPr>
                <w:rFonts w:eastAsia="Times New Roman"/>
                <w:sz w:val="24"/>
                <w:szCs w:val="24"/>
              </w:rPr>
              <w:t xml:space="preserve">дважды </w:t>
            </w:r>
            <w:r w:rsidR="003A5AB1">
              <w:rPr>
                <w:rFonts w:eastAsia="Times New Roman"/>
                <w:sz w:val="24"/>
                <w:szCs w:val="24"/>
              </w:rPr>
              <w:t>выставля</w:t>
            </w:r>
            <w:r w:rsidR="000C75BF">
              <w:rPr>
                <w:rFonts w:eastAsia="Times New Roman"/>
                <w:sz w:val="24"/>
                <w:szCs w:val="24"/>
              </w:rPr>
              <w:t>лось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 на </w:t>
            </w:r>
            <w:r w:rsidR="000C75BF">
              <w:rPr>
                <w:rFonts w:eastAsia="Times New Roman"/>
                <w:sz w:val="24"/>
                <w:szCs w:val="24"/>
              </w:rPr>
              <w:t xml:space="preserve">электронные 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торги в форме аукциона </w:t>
            </w:r>
            <w:r w:rsidR="000C75BF">
              <w:rPr>
                <w:rFonts w:eastAsia="Times New Roman"/>
                <w:sz w:val="24"/>
                <w:szCs w:val="24"/>
              </w:rPr>
              <w:t>(№ процедуры 27956</w:t>
            </w:r>
            <w:r w:rsidR="00F36774">
              <w:rPr>
                <w:rFonts w:eastAsia="Times New Roman"/>
                <w:sz w:val="24"/>
                <w:szCs w:val="24"/>
              </w:rPr>
              <w:t>, 29580</w:t>
            </w:r>
            <w:r w:rsidR="000C75BF">
              <w:rPr>
                <w:rFonts w:eastAsia="Times New Roman"/>
                <w:sz w:val="24"/>
                <w:szCs w:val="24"/>
              </w:rPr>
              <w:t>)</w:t>
            </w:r>
            <w:r w:rsidR="00300FDC">
              <w:rPr>
                <w:rFonts w:eastAsia="Times New Roman"/>
                <w:sz w:val="24"/>
                <w:szCs w:val="24"/>
              </w:rPr>
              <w:t xml:space="preserve"> на электронной площадке ООО «РТС-тендер»</w:t>
            </w:r>
            <w:r w:rsidR="00F36774">
              <w:rPr>
                <w:rFonts w:eastAsia="Times New Roman"/>
                <w:sz w:val="24"/>
                <w:szCs w:val="24"/>
              </w:rPr>
              <w:t xml:space="preserve"> Торги не состоялись ввиду отсутствия участников.</w:t>
            </w:r>
          </w:p>
        </w:tc>
      </w:tr>
    </w:tbl>
    <w:p w:rsidR="00745C19" w:rsidRPr="0039098D" w:rsidRDefault="00745C19">
      <w:pPr>
        <w:spacing w:line="71" w:lineRule="exact"/>
        <w:rPr>
          <w:sz w:val="20"/>
          <w:szCs w:val="20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39098D" w:rsidRDefault="00C233DD">
      <w:pPr>
        <w:jc w:val="center"/>
        <w:rPr>
          <w:sz w:val="20"/>
          <w:szCs w:val="20"/>
        </w:rPr>
      </w:pPr>
    </w:p>
    <w:p w:rsidR="008548A6" w:rsidRPr="0039098D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Продажа</w:t>
      </w:r>
      <w:r w:rsidR="00F36774">
        <w:rPr>
          <w:rFonts w:eastAsia="Times New Roman"/>
          <w:b/>
          <w:bCs/>
          <w:sz w:val="24"/>
          <w:szCs w:val="24"/>
        </w:rPr>
        <w:t xml:space="preserve"> имущества,</w:t>
      </w:r>
      <w:r w:rsidRPr="0039098D">
        <w:rPr>
          <w:rFonts w:eastAsia="Times New Roman"/>
          <w:b/>
          <w:bCs/>
          <w:sz w:val="24"/>
          <w:szCs w:val="24"/>
        </w:rPr>
        <w:t xml:space="preserve"> находящегося в государственной </w:t>
      </w:r>
      <w:r w:rsidR="00F36774">
        <w:rPr>
          <w:rFonts w:eastAsia="Times New Roman"/>
          <w:b/>
          <w:bCs/>
          <w:sz w:val="24"/>
          <w:szCs w:val="24"/>
        </w:rPr>
        <w:t xml:space="preserve">(муниципальной) </w:t>
      </w:r>
      <w:bookmarkStart w:id="0" w:name="_GoBack"/>
      <w:bookmarkEnd w:id="0"/>
      <w:r w:rsidRPr="0039098D">
        <w:rPr>
          <w:rFonts w:eastAsia="Times New Roman"/>
          <w:b/>
          <w:bCs/>
          <w:sz w:val="24"/>
          <w:szCs w:val="24"/>
        </w:rPr>
        <w:t xml:space="preserve">собственности </w:t>
      </w:r>
      <w:r w:rsidR="009511FB" w:rsidRPr="0039098D">
        <w:rPr>
          <w:rFonts w:eastAsia="Times New Roman"/>
          <w:b/>
          <w:bCs/>
          <w:sz w:val="24"/>
          <w:szCs w:val="24"/>
        </w:rPr>
        <w:t>Томской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39098D">
        <w:rPr>
          <w:rFonts w:eastAsia="Times New Roman"/>
          <w:b/>
          <w:bCs/>
          <w:sz w:val="24"/>
          <w:szCs w:val="24"/>
        </w:rPr>
        <w:t>области  проводится</w:t>
      </w:r>
      <w:proofErr w:type="gramEnd"/>
      <w:r w:rsidRPr="0039098D">
        <w:rPr>
          <w:rFonts w:eastAsia="Times New Roman"/>
          <w:b/>
          <w:bCs/>
          <w:sz w:val="24"/>
          <w:szCs w:val="24"/>
        </w:rPr>
        <w:t xml:space="preserve"> в соответствии с:</w:t>
      </w:r>
    </w:p>
    <w:p w:rsidR="008548A6" w:rsidRPr="0039098D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39098D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39098D">
        <w:rPr>
          <w:rFonts w:ascii="Symbol" w:eastAsia="Symbol" w:hAnsi="Symbol" w:cs="Symbol"/>
          <w:sz w:val="24"/>
          <w:szCs w:val="24"/>
        </w:rPr>
        <w:t></w:t>
      </w:r>
      <w:r w:rsidRPr="0039098D">
        <w:rPr>
          <w:rFonts w:eastAsia="Times New Roman"/>
          <w:sz w:val="24"/>
          <w:szCs w:val="24"/>
        </w:rPr>
        <w:tab/>
        <w:t>постановлением</w:t>
      </w:r>
      <w:r w:rsidRPr="0039098D">
        <w:rPr>
          <w:rFonts w:eastAsia="Times New Roman"/>
          <w:sz w:val="24"/>
          <w:szCs w:val="24"/>
        </w:rPr>
        <w:tab/>
        <w:t>Правительства</w:t>
      </w:r>
      <w:r w:rsidRPr="0039098D">
        <w:rPr>
          <w:rFonts w:eastAsia="Times New Roman"/>
          <w:sz w:val="24"/>
          <w:szCs w:val="24"/>
        </w:rPr>
        <w:tab/>
        <w:t>Российской</w:t>
      </w:r>
      <w:r w:rsidRPr="0039098D">
        <w:rPr>
          <w:rFonts w:eastAsia="Times New Roman"/>
          <w:sz w:val="24"/>
          <w:szCs w:val="24"/>
        </w:rPr>
        <w:tab/>
        <w:t>Федерации</w:t>
      </w:r>
      <w:r w:rsidRPr="0039098D">
        <w:rPr>
          <w:rFonts w:eastAsia="Times New Roman"/>
          <w:sz w:val="24"/>
          <w:szCs w:val="24"/>
        </w:rPr>
        <w:tab/>
        <w:t>от</w:t>
      </w:r>
      <w:r w:rsidRPr="0039098D">
        <w:rPr>
          <w:rFonts w:eastAsia="Times New Roman"/>
          <w:sz w:val="24"/>
          <w:szCs w:val="24"/>
        </w:rPr>
        <w:tab/>
        <w:t>27</w:t>
      </w:r>
      <w:r w:rsidRPr="0039098D">
        <w:rPr>
          <w:rFonts w:eastAsia="Times New Roman"/>
          <w:sz w:val="24"/>
          <w:szCs w:val="24"/>
        </w:rPr>
        <w:tab/>
        <w:t>августа</w:t>
      </w:r>
      <w:r w:rsidRPr="0039098D">
        <w:rPr>
          <w:rFonts w:eastAsia="Times New Roman"/>
          <w:sz w:val="24"/>
          <w:szCs w:val="24"/>
        </w:rPr>
        <w:tab/>
        <w:t>2012</w:t>
      </w:r>
      <w:r w:rsidRPr="0039098D">
        <w:rPr>
          <w:sz w:val="20"/>
          <w:szCs w:val="20"/>
        </w:rPr>
        <w:tab/>
      </w:r>
      <w:r w:rsidRPr="0039098D">
        <w:rPr>
          <w:rFonts w:eastAsia="Times New Roman"/>
          <w:sz w:val="23"/>
          <w:szCs w:val="23"/>
        </w:rPr>
        <w:t>года</w:t>
      </w:r>
    </w:p>
    <w:p w:rsidR="008548A6" w:rsidRPr="0039098D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39098D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cs="Symbol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.0</w:t>
      </w:r>
      <w:r w:rsidR="00F311E1">
        <w:rPr>
          <w:rFonts w:eastAsia="Times New Roman"/>
          <w:sz w:val="24"/>
          <w:szCs w:val="24"/>
        </w:rPr>
        <w:t>2</w:t>
      </w:r>
      <w:r w:rsidRPr="003752A2">
        <w:rPr>
          <w:rFonts w:eastAsia="Times New Roman"/>
          <w:sz w:val="24"/>
          <w:szCs w:val="24"/>
        </w:rPr>
        <w:t>.201</w:t>
      </w:r>
      <w:r w:rsidR="00F311E1">
        <w:rPr>
          <w:rFonts w:eastAsia="Times New Roman"/>
          <w:sz w:val="24"/>
          <w:szCs w:val="24"/>
        </w:rPr>
        <w:t>7</w:t>
      </w:r>
      <w:r w:rsidRPr="003752A2">
        <w:rPr>
          <w:rFonts w:eastAsia="Times New Roman"/>
          <w:sz w:val="24"/>
          <w:szCs w:val="24"/>
        </w:rPr>
        <w:t xml:space="preserve"> № 01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);</w:t>
      </w:r>
    </w:p>
    <w:p w:rsidR="00E550C4" w:rsidRPr="003752A2" w:rsidRDefault="00E550C4" w:rsidP="00E550C4">
      <w:pPr>
        <w:spacing w:line="34" w:lineRule="exact"/>
        <w:jc w:val="both"/>
        <w:rPr>
          <w:rFonts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Прогнозного плана (программы) приватизации объектов муниципальной собственно</w:t>
      </w:r>
      <w:r w:rsidR="00F311E1">
        <w:rPr>
          <w:rFonts w:eastAsia="Times New Roman"/>
          <w:sz w:val="24"/>
          <w:szCs w:val="24"/>
        </w:rPr>
        <w:t xml:space="preserve">сти муниципального образования </w:t>
      </w:r>
      <w:r w:rsidRPr="003752A2">
        <w:rPr>
          <w:rFonts w:eastAsia="Times New Roman"/>
          <w:sz w:val="24"/>
          <w:szCs w:val="24"/>
        </w:rPr>
        <w:t>Белоярское городское поселение</w:t>
      </w:r>
      <w:r w:rsidR="00F311E1">
        <w:rPr>
          <w:rFonts w:eastAsia="Times New Roman"/>
          <w:sz w:val="24"/>
          <w:szCs w:val="24"/>
        </w:rPr>
        <w:t xml:space="preserve"> </w:t>
      </w:r>
      <w:proofErr w:type="spellStart"/>
      <w:r w:rsidR="00F311E1">
        <w:rPr>
          <w:rFonts w:eastAsia="Times New Roman"/>
          <w:sz w:val="24"/>
          <w:szCs w:val="24"/>
        </w:rPr>
        <w:t>Верхнекетского</w:t>
      </w:r>
      <w:proofErr w:type="spellEnd"/>
      <w:r w:rsidR="00F311E1">
        <w:rPr>
          <w:rFonts w:eastAsia="Times New Roman"/>
          <w:sz w:val="24"/>
          <w:szCs w:val="24"/>
        </w:rPr>
        <w:t xml:space="preserve"> района Томской области</w:t>
      </w:r>
      <w:r w:rsidRPr="003752A2">
        <w:rPr>
          <w:rFonts w:eastAsia="Times New Roman"/>
          <w:sz w:val="24"/>
          <w:szCs w:val="24"/>
        </w:rPr>
        <w:t xml:space="preserve"> на 20</w:t>
      </w:r>
      <w:r w:rsidR="00F311E1">
        <w:rPr>
          <w:rFonts w:eastAsia="Times New Roman"/>
          <w:sz w:val="24"/>
          <w:szCs w:val="24"/>
        </w:rPr>
        <w:t>20</w:t>
      </w:r>
      <w:r w:rsidRPr="003752A2">
        <w:rPr>
          <w:rFonts w:eastAsia="Times New Roman"/>
          <w:sz w:val="24"/>
          <w:szCs w:val="24"/>
        </w:rPr>
        <w:t xml:space="preserve"> год, утвержденного решением Совета Белоярского городского поселения от 26.12.201</w:t>
      </w:r>
      <w:r w:rsidR="00F311E1">
        <w:rPr>
          <w:rFonts w:eastAsia="Times New Roman"/>
          <w:sz w:val="24"/>
          <w:szCs w:val="24"/>
        </w:rPr>
        <w:t>9</w:t>
      </w:r>
      <w:r w:rsidRPr="003752A2">
        <w:rPr>
          <w:rFonts w:eastAsia="Times New Roman"/>
          <w:sz w:val="24"/>
          <w:szCs w:val="24"/>
        </w:rPr>
        <w:t xml:space="preserve"> № </w:t>
      </w:r>
      <w:r w:rsidR="00F311E1">
        <w:rPr>
          <w:rFonts w:eastAsia="Times New Roman"/>
          <w:sz w:val="24"/>
          <w:szCs w:val="24"/>
        </w:rPr>
        <w:t>081</w:t>
      </w:r>
    </w:p>
    <w:p w:rsidR="00181AB2" w:rsidRPr="0039098D" w:rsidRDefault="00181AB2" w:rsidP="008548A6">
      <w:pPr>
        <w:ind w:left="560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39098D" w:rsidRDefault="008548A6" w:rsidP="008548A6">
      <w:pPr>
        <w:spacing w:line="7" w:lineRule="exact"/>
        <w:rPr>
          <w:sz w:val="20"/>
          <w:szCs w:val="20"/>
        </w:rPr>
      </w:pPr>
    </w:p>
    <w:p w:rsidR="00181AB2" w:rsidRPr="0039098D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39098D">
        <w:rPr>
          <w:sz w:val="24"/>
          <w:szCs w:val="24"/>
        </w:rPr>
        <w:t>Для обеспечения доступа</w:t>
      </w:r>
      <w:r w:rsidRPr="0039098D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39098D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39098D" w:rsidRDefault="008548A6" w:rsidP="008548A6">
      <w:pPr>
        <w:spacing w:line="6" w:lineRule="exact"/>
        <w:rPr>
          <w:sz w:val="20"/>
          <w:szCs w:val="20"/>
        </w:rPr>
      </w:pPr>
    </w:p>
    <w:p w:rsidR="008548A6" w:rsidRPr="0039098D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39098D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39098D">
        <w:rPr>
          <w:rFonts w:eastAsia="Times New Roman"/>
          <w:sz w:val="24"/>
          <w:szCs w:val="24"/>
        </w:rPr>
        <w:t xml:space="preserve"> </w:t>
      </w:r>
      <w:r w:rsidR="00932696" w:rsidRPr="0039098D">
        <w:rPr>
          <w:rFonts w:eastAsia="Times New Roman"/>
          <w:sz w:val="24"/>
          <w:szCs w:val="24"/>
        </w:rPr>
        <w:t xml:space="preserve">с </w:t>
      </w:r>
      <w:r w:rsidRPr="0039098D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39098D">
        <w:rPr>
          <w:rFonts w:eastAsia="Times New Roman"/>
          <w:sz w:val="24"/>
          <w:szCs w:val="24"/>
        </w:rPr>
        <w:t>в данном информационном сообщении</w:t>
      </w:r>
      <w:r w:rsidRPr="0039098D">
        <w:rPr>
          <w:rFonts w:eastAsia="Times New Roman"/>
          <w:sz w:val="24"/>
          <w:szCs w:val="24"/>
        </w:rPr>
        <w:t xml:space="preserve">. </w:t>
      </w:r>
    </w:p>
    <w:p w:rsidR="008548A6" w:rsidRPr="0039098D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39098D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39098D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39098D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39098D" w:rsidRDefault="008548A6" w:rsidP="008548A6">
      <w:pPr>
        <w:spacing w:line="17" w:lineRule="exact"/>
        <w:rPr>
          <w:sz w:val="20"/>
          <w:szCs w:val="20"/>
        </w:rPr>
      </w:pPr>
    </w:p>
    <w:p w:rsidR="007A2C1F" w:rsidRPr="0039098D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39098D">
        <w:rPr>
          <w:rFonts w:eastAsia="Times New Roman"/>
          <w:sz w:val="24"/>
          <w:szCs w:val="24"/>
        </w:rPr>
        <w:t>муниципальног</w:t>
      </w:r>
      <w:r w:rsidRPr="0039098D">
        <w:rPr>
          <w:rFonts w:eastAsia="Times New Roman"/>
          <w:sz w:val="24"/>
          <w:szCs w:val="24"/>
        </w:rPr>
        <w:t>о имущества</w:t>
      </w:r>
      <w:r w:rsidR="00A62122" w:rsidRPr="0039098D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39098D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39098D" w:rsidRDefault="008548A6" w:rsidP="008548A6">
      <w:pPr>
        <w:spacing w:line="30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39098D" w:rsidRDefault="008548A6" w:rsidP="008548A6">
      <w:pPr>
        <w:spacing w:line="290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39098D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39098D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39098D">
        <w:rPr>
          <w:rFonts w:eastAsia="Times New Roman"/>
          <w:sz w:val="24"/>
          <w:szCs w:val="24"/>
        </w:rPr>
        <w:t xml:space="preserve">в соответствии с </w:t>
      </w:r>
      <w:r w:rsidR="007E50A9" w:rsidRPr="0039098D">
        <w:rPr>
          <w:rFonts w:eastAsia="Times New Roman"/>
          <w:sz w:val="24"/>
          <w:szCs w:val="24"/>
        </w:rPr>
        <w:t>данным информационным сообщением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ind w:left="56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39098D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39098D" w:rsidRDefault="008548A6" w:rsidP="008548A6">
      <w:pPr>
        <w:spacing w:line="278" w:lineRule="exact"/>
        <w:rPr>
          <w:sz w:val="20"/>
          <w:szCs w:val="20"/>
        </w:rPr>
      </w:pPr>
    </w:p>
    <w:p w:rsidR="008548A6" w:rsidRPr="0039098D" w:rsidRDefault="008548A6" w:rsidP="008548A6">
      <w:pPr>
        <w:ind w:left="560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39098D">
        <w:rPr>
          <w:rFonts w:eastAsia="Times New Roman"/>
          <w:sz w:val="24"/>
          <w:szCs w:val="24"/>
        </w:rPr>
        <w:t>в соотве</w:t>
      </w:r>
      <w:r w:rsidRPr="0039098D">
        <w:rPr>
          <w:rFonts w:eastAsia="Times New Roman"/>
          <w:sz w:val="24"/>
          <w:szCs w:val="24"/>
        </w:rPr>
        <w:t xml:space="preserve">тствии с </w:t>
      </w:r>
      <w:r w:rsidR="007A2C1F" w:rsidRPr="0039098D">
        <w:rPr>
          <w:rFonts w:eastAsia="Times New Roman"/>
          <w:sz w:val="24"/>
          <w:szCs w:val="24"/>
        </w:rPr>
        <w:t>регламентом</w:t>
      </w:r>
      <w:r w:rsidRPr="0039098D">
        <w:rPr>
          <w:rFonts w:eastAsia="Times New Roman"/>
          <w:sz w:val="24"/>
          <w:szCs w:val="24"/>
        </w:rPr>
        <w:t xml:space="preserve"> электронно</w:t>
      </w:r>
      <w:r w:rsidR="007A2C1F" w:rsidRPr="0039098D">
        <w:rPr>
          <w:rFonts w:eastAsia="Times New Roman"/>
          <w:sz w:val="24"/>
          <w:szCs w:val="24"/>
        </w:rPr>
        <w:t>й</w:t>
      </w:r>
      <w:r w:rsidRPr="0039098D">
        <w:rPr>
          <w:rFonts w:eastAsia="Times New Roman"/>
          <w:sz w:val="24"/>
          <w:szCs w:val="24"/>
        </w:rPr>
        <w:t xml:space="preserve"> </w:t>
      </w:r>
      <w:r w:rsidR="007A2C1F" w:rsidRPr="0039098D">
        <w:rPr>
          <w:rFonts w:eastAsia="Times New Roman"/>
          <w:sz w:val="24"/>
          <w:szCs w:val="24"/>
        </w:rPr>
        <w:t>площадки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39098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15B72"/>
    <w:rsid w:val="00022F23"/>
    <w:rsid w:val="00060D34"/>
    <w:rsid w:val="00073AC5"/>
    <w:rsid w:val="00083D42"/>
    <w:rsid w:val="00087D51"/>
    <w:rsid w:val="000C75BF"/>
    <w:rsid w:val="000E6332"/>
    <w:rsid w:val="000F58D2"/>
    <w:rsid w:val="00165BB8"/>
    <w:rsid w:val="00181AB2"/>
    <w:rsid w:val="00182AE0"/>
    <w:rsid w:val="001963CB"/>
    <w:rsid w:val="001C5C5B"/>
    <w:rsid w:val="001E0A69"/>
    <w:rsid w:val="0020270D"/>
    <w:rsid w:val="00230A60"/>
    <w:rsid w:val="00242E1F"/>
    <w:rsid w:val="0024605A"/>
    <w:rsid w:val="00263FD6"/>
    <w:rsid w:val="00292304"/>
    <w:rsid w:val="002A38B7"/>
    <w:rsid w:val="002A7AC5"/>
    <w:rsid w:val="002B0A84"/>
    <w:rsid w:val="00300FDC"/>
    <w:rsid w:val="003037A5"/>
    <w:rsid w:val="00310580"/>
    <w:rsid w:val="00340FA3"/>
    <w:rsid w:val="0039098D"/>
    <w:rsid w:val="003A5AB1"/>
    <w:rsid w:val="00422F43"/>
    <w:rsid w:val="004534E4"/>
    <w:rsid w:val="004A620A"/>
    <w:rsid w:val="0051559F"/>
    <w:rsid w:val="0059405D"/>
    <w:rsid w:val="0059622E"/>
    <w:rsid w:val="005A15EC"/>
    <w:rsid w:val="005A1BA3"/>
    <w:rsid w:val="005A447E"/>
    <w:rsid w:val="005E48EA"/>
    <w:rsid w:val="005E6446"/>
    <w:rsid w:val="005F53F0"/>
    <w:rsid w:val="00645B81"/>
    <w:rsid w:val="00645E7B"/>
    <w:rsid w:val="00653572"/>
    <w:rsid w:val="006B26F4"/>
    <w:rsid w:val="00745C19"/>
    <w:rsid w:val="007673EF"/>
    <w:rsid w:val="007A1019"/>
    <w:rsid w:val="007A2C1F"/>
    <w:rsid w:val="007E50A9"/>
    <w:rsid w:val="00803964"/>
    <w:rsid w:val="0082249A"/>
    <w:rsid w:val="008423D5"/>
    <w:rsid w:val="008548A6"/>
    <w:rsid w:val="008B3E02"/>
    <w:rsid w:val="008B54CA"/>
    <w:rsid w:val="008C3343"/>
    <w:rsid w:val="008C7DEB"/>
    <w:rsid w:val="00915691"/>
    <w:rsid w:val="00925AE2"/>
    <w:rsid w:val="00932696"/>
    <w:rsid w:val="009511FB"/>
    <w:rsid w:val="00962ADE"/>
    <w:rsid w:val="00962EDE"/>
    <w:rsid w:val="00992EE8"/>
    <w:rsid w:val="009A13A0"/>
    <w:rsid w:val="009B4BDA"/>
    <w:rsid w:val="009C0C72"/>
    <w:rsid w:val="009E5DA8"/>
    <w:rsid w:val="009E7AC9"/>
    <w:rsid w:val="009F2837"/>
    <w:rsid w:val="00A06E50"/>
    <w:rsid w:val="00A23895"/>
    <w:rsid w:val="00A62122"/>
    <w:rsid w:val="00A94A90"/>
    <w:rsid w:val="00AA2569"/>
    <w:rsid w:val="00AB2BAF"/>
    <w:rsid w:val="00AE3EBF"/>
    <w:rsid w:val="00AE73B6"/>
    <w:rsid w:val="00AF191B"/>
    <w:rsid w:val="00B22EA6"/>
    <w:rsid w:val="00B330BC"/>
    <w:rsid w:val="00B7386E"/>
    <w:rsid w:val="00B82A0B"/>
    <w:rsid w:val="00BB555D"/>
    <w:rsid w:val="00C0415B"/>
    <w:rsid w:val="00C233DD"/>
    <w:rsid w:val="00C36A93"/>
    <w:rsid w:val="00C56E5E"/>
    <w:rsid w:val="00C92827"/>
    <w:rsid w:val="00CB2A77"/>
    <w:rsid w:val="00CC318D"/>
    <w:rsid w:val="00CF23DE"/>
    <w:rsid w:val="00D51D9D"/>
    <w:rsid w:val="00D62CC6"/>
    <w:rsid w:val="00D64EDC"/>
    <w:rsid w:val="00E30718"/>
    <w:rsid w:val="00E550C4"/>
    <w:rsid w:val="00E75892"/>
    <w:rsid w:val="00EB2C92"/>
    <w:rsid w:val="00EC070C"/>
    <w:rsid w:val="00EE1A48"/>
    <w:rsid w:val="00F0127D"/>
    <w:rsid w:val="00F24619"/>
    <w:rsid w:val="00F311E1"/>
    <w:rsid w:val="00F36774"/>
    <w:rsid w:val="00F41394"/>
    <w:rsid w:val="00F427C1"/>
    <w:rsid w:val="00F479C8"/>
    <w:rsid w:val="00F64362"/>
    <w:rsid w:val="00FC7192"/>
    <w:rsid w:val="00FD483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4766-C489-4271-B082-2FAE08A6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3858</Words>
  <Characters>21994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5</cp:revision>
  <cp:lastPrinted>2019-07-10T08:33:00Z</cp:lastPrinted>
  <dcterms:created xsi:type="dcterms:W3CDTF">2020-04-16T08:51:00Z</dcterms:created>
  <dcterms:modified xsi:type="dcterms:W3CDTF">2020-04-17T03:35:00Z</dcterms:modified>
</cp:coreProperties>
</file>