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B1" w:rsidRDefault="009466B1" w:rsidP="006D4F10">
      <w:pPr>
        <w:pStyle w:val="3"/>
        <w:widowControl/>
        <w:rPr>
          <w:rFonts w:ascii="Arial" w:hAnsi="Arial" w:cs="Arial"/>
          <w:b/>
          <w:bCs/>
          <w:spacing w:val="20"/>
          <w:sz w:val="36"/>
          <w:szCs w:val="36"/>
        </w:rPr>
      </w:pPr>
    </w:p>
    <w:p w:rsidR="009139C9" w:rsidRDefault="009139C9" w:rsidP="009139C9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139C9" w:rsidRDefault="009139C9" w:rsidP="009139C9">
      <w:pPr>
        <w:pStyle w:val="1"/>
        <w:jc w:val="center"/>
        <w:rPr>
          <w:rFonts w:ascii="Arial" w:hAnsi="Arial"/>
        </w:rPr>
      </w:pPr>
    </w:p>
    <w:p w:rsidR="009139C9" w:rsidRDefault="009139C9" w:rsidP="009139C9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9139C9" w:rsidRDefault="009139C9" w:rsidP="009139C9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5"/>
        <w:gridCol w:w="2409"/>
      </w:tblGrid>
      <w:tr w:rsidR="009139C9" w:rsidTr="006D4F10">
        <w:tc>
          <w:tcPr>
            <w:tcW w:w="2410" w:type="dxa"/>
            <w:hideMark/>
          </w:tcPr>
          <w:p w:rsidR="009139C9" w:rsidRDefault="00006A1C" w:rsidP="00006A1C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 06</w:t>
            </w:r>
            <w:r w:rsidR="009139C9">
              <w:rPr>
                <w:rFonts w:ascii="Arial" w:hAnsi="Arial"/>
                <w:i w:val="0"/>
                <w:sz w:val="24"/>
              </w:rPr>
              <w:t xml:space="preserve">» </w:t>
            </w:r>
            <w:r w:rsidR="00963E12">
              <w:rPr>
                <w:rFonts w:ascii="Arial" w:hAnsi="Arial"/>
                <w:i w:val="0"/>
                <w:sz w:val="24"/>
              </w:rPr>
              <w:t>апреля</w:t>
            </w:r>
            <w:r w:rsidR="009139C9">
              <w:rPr>
                <w:rFonts w:ascii="Arial" w:hAnsi="Arial"/>
                <w:i w:val="0"/>
                <w:sz w:val="24"/>
              </w:rPr>
              <w:t xml:space="preserve"> 2015 г.</w:t>
            </w:r>
          </w:p>
        </w:tc>
        <w:tc>
          <w:tcPr>
            <w:tcW w:w="4395" w:type="dxa"/>
            <w:hideMark/>
          </w:tcPr>
          <w:p w:rsidR="009139C9" w:rsidRDefault="009139C9" w:rsidP="007B0E51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9139C9" w:rsidRDefault="009139C9" w:rsidP="007B0E51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9139C9" w:rsidRDefault="009139C9" w:rsidP="007B0E51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9139C9" w:rsidRPr="006D4F10" w:rsidRDefault="006D4F10" w:rsidP="00963E12">
            <w:pPr>
              <w:pStyle w:val="11"/>
              <w:jc w:val="left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</w:t>
            </w:r>
            <w:r w:rsidR="00963E12">
              <w:rPr>
                <w:rFonts w:ascii="Arial" w:hAnsi="Arial"/>
                <w:i w:val="0"/>
                <w:sz w:val="24"/>
              </w:rPr>
              <w:t>№</w:t>
            </w:r>
            <w:r w:rsidR="00006A1C">
              <w:rPr>
                <w:rFonts w:ascii="Arial" w:hAnsi="Arial"/>
                <w:i w:val="0"/>
                <w:sz w:val="24"/>
              </w:rPr>
              <w:t xml:space="preserve"> 67</w:t>
            </w:r>
            <w:r>
              <w:rPr>
                <w:rFonts w:ascii="Arial" w:hAnsi="Arial"/>
                <w:i w:val="0"/>
                <w:sz w:val="24"/>
              </w:rPr>
              <w:t xml:space="preserve">        </w:t>
            </w:r>
            <w:r w:rsidR="009139C9" w:rsidRPr="006D4F10">
              <w:rPr>
                <w:rFonts w:ascii="Arial" w:hAnsi="Arial"/>
                <w:i w:val="0"/>
                <w:szCs w:val="22"/>
              </w:rPr>
              <w:t xml:space="preserve"> </w:t>
            </w:r>
          </w:p>
        </w:tc>
      </w:tr>
    </w:tbl>
    <w:p w:rsidR="00714CE2" w:rsidRDefault="00714CE2" w:rsidP="006D4F10">
      <w:pPr>
        <w:pStyle w:val="3"/>
        <w:widowControl/>
        <w:jc w:val="center"/>
      </w:pPr>
    </w:p>
    <w:p w:rsidR="00714CE2" w:rsidRDefault="00E82FBD" w:rsidP="00714CE2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.4pt;margin-top:5.55pt;width:198.5pt;height:96pt;z-index:25165926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3"/>
                  </w:tblGrid>
                  <w:tr w:rsidR="00714CE2" w:rsidTr="00156759">
                    <w:trPr>
                      <w:trHeight w:val="1448"/>
                    </w:trPr>
                    <w:tc>
                      <w:tcPr>
                        <w:tcW w:w="3973" w:type="dxa"/>
                        <w:hideMark/>
                      </w:tcPr>
                      <w:p w:rsidR="00714CE2" w:rsidRPr="00AD0813" w:rsidRDefault="00714CE2" w:rsidP="00AD0813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О временном ограничении движения автотранс</w:t>
                        </w:r>
                        <w:r w:rsidR="006D4F1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порта на автомобильных дорогах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на территории муниципального образования «</w:t>
                        </w:r>
                        <w:r w:rsidR="006D4F1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Белоярское городское поселение»</w:t>
                        </w:r>
                      </w:p>
                    </w:tc>
                  </w:tr>
                </w:tbl>
                <w:p w:rsidR="00714CE2" w:rsidRDefault="00714CE2" w:rsidP="00714CE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714CE2" w:rsidRDefault="00714CE2" w:rsidP="00714CE2">
      <w:pPr>
        <w:jc w:val="both"/>
        <w:rPr>
          <w:i/>
          <w:sz w:val="28"/>
          <w:szCs w:val="28"/>
        </w:rPr>
      </w:pPr>
    </w:p>
    <w:p w:rsidR="00714CE2" w:rsidRDefault="00714CE2" w:rsidP="00714CE2">
      <w:pPr>
        <w:jc w:val="both"/>
        <w:rPr>
          <w:i/>
          <w:sz w:val="28"/>
          <w:szCs w:val="28"/>
        </w:rPr>
      </w:pPr>
    </w:p>
    <w:p w:rsidR="00714CE2" w:rsidRDefault="00714CE2" w:rsidP="00156759">
      <w:pPr>
        <w:jc w:val="both"/>
        <w:rPr>
          <w:i/>
          <w:sz w:val="28"/>
          <w:szCs w:val="28"/>
        </w:rPr>
      </w:pPr>
    </w:p>
    <w:p w:rsidR="00714CE2" w:rsidRDefault="00714CE2" w:rsidP="00714CE2">
      <w:pPr>
        <w:ind w:firstLine="708"/>
        <w:jc w:val="both"/>
        <w:rPr>
          <w:i/>
          <w:sz w:val="28"/>
          <w:szCs w:val="28"/>
        </w:rPr>
      </w:pPr>
    </w:p>
    <w:p w:rsidR="009139C9" w:rsidRDefault="009139C9" w:rsidP="00714CE2">
      <w:pPr>
        <w:ind w:firstLine="708"/>
        <w:jc w:val="both"/>
        <w:rPr>
          <w:i/>
          <w:sz w:val="28"/>
          <w:szCs w:val="28"/>
        </w:rPr>
      </w:pPr>
    </w:p>
    <w:p w:rsidR="006D4F10" w:rsidRDefault="006D4F10" w:rsidP="006D4F10">
      <w:pPr>
        <w:jc w:val="both"/>
        <w:rPr>
          <w:i/>
          <w:sz w:val="28"/>
          <w:szCs w:val="28"/>
        </w:rPr>
      </w:pPr>
    </w:p>
    <w:p w:rsidR="00714CE2" w:rsidRPr="006D4F10" w:rsidRDefault="00EA6936" w:rsidP="006D4F1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4F10">
        <w:rPr>
          <w:rFonts w:ascii="Arial" w:hAnsi="Arial" w:cs="Arial"/>
          <w:i/>
          <w:sz w:val="28"/>
          <w:szCs w:val="28"/>
        </w:rPr>
        <w:t xml:space="preserve"> </w:t>
      </w:r>
      <w:r w:rsidRPr="006D4F10">
        <w:rPr>
          <w:rFonts w:ascii="Arial" w:hAnsi="Arial" w:cs="Arial"/>
          <w:i/>
          <w:sz w:val="24"/>
          <w:szCs w:val="24"/>
        </w:rPr>
        <w:t>В соответствии с Федеральным законам</w:t>
      </w:r>
      <w:r w:rsidR="00714CE2" w:rsidRPr="006D4F10">
        <w:rPr>
          <w:rFonts w:ascii="Arial" w:hAnsi="Arial" w:cs="Arial"/>
          <w:i/>
          <w:sz w:val="24"/>
          <w:szCs w:val="24"/>
        </w:rPr>
        <w:t xml:space="preserve">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Томской области от 27 марта 2012 года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</w:t>
      </w:r>
      <w:r w:rsidRPr="006D4F10">
        <w:rPr>
          <w:rFonts w:ascii="Arial" w:hAnsi="Arial" w:cs="Arial"/>
          <w:i/>
          <w:sz w:val="24"/>
          <w:szCs w:val="24"/>
        </w:rPr>
        <w:t>на территории Томской области»</w:t>
      </w:r>
      <w:r w:rsidR="00714CE2" w:rsidRPr="006D4F10">
        <w:rPr>
          <w:rFonts w:ascii="Arial" w:hAnsi="Arial" w:cs="Arial"/>
          <w:i/>
          <w:sz w:val="24"/>
          <w:szCs w:val="24"/>
        </w:rPr>
        <w:t>, Постановлением Администр</w:t>
      </w:r>
      <w:r w:rsidR="00156759" w:rsidRPr="006D4F10">
        <w:rPr>
          <w:rFonts w:ascii="Arial" w:hAnsi="Arial" w:cs="Arial"/>
          <w:i/>
          <w:sz w:val="24"/>
          <w:szCs w:val="24"/>
        </w:rPr>
        <w:t>ации Верхнекетского района от 12 марта 2015  года № 216</w:t>
      </w:r>
      <w:r w:rsidR="00714CE2" w:rsidRPr="006D4F10">
        <w:rPr>
          <w:rFonts w:ascii="Arial" w:hAnsi="Arial" w:cs="Arial"/>
          <w:i/>
          <w:sz w:val="24"/>
          <w:szCs w:val="24"/>
        </w:rPr>
        <w:t xml:space="preserve"> «О временном ограничении движения транспортных средств по автомобильным дорогам общего пользования местного значения на территории муниципального образования «Верхнекетск</w:t>
      </w:r>
      <w:r w:rsidR="00156759" w:rsidRPr="006D4F10">
        <w:rPr>
          <w:rFonts w:ascii="Arial" w:hAnsi="Arial" w:cs="Arial"/>
          <w:i/>
          <w:sz w:val="24"/>
          <w:szCs w:val="24"/>
        </w:rPr>
        <w:t>ий район» в весенний период 2015</w:t>
      </w:r>
      <w:r w:rsidR="00714CE2" w:rsidRPr="006D4F10">
        <w:rPr>
          <w:rFonts w:ascii="Arial" w:hAnsi="Arial" w:cs="Arial"/>
          <w:i/>
          <w:sz w:val="24"/>
          <w:szCs w:val="24"/>
        </w:rPr>
        <w:t xml:space="preserve"> года, </w:t>
      </w:r>
      <w:r w:rsidR="00A663A1">
        <w:rPr>
          <w:rFonts w:ascii="Arial" w:hAnsi="Arial" w:cs="Arial"/>
          <w:i/>
          <w:sz w:val="24"/>
          <w:szCs w:val="24"/>
        </w:rP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дорог, вызванной их переувлажнением в период весенней распутицы, </w:t>
      </w:r>
      <w:r w:rsidR="00714CE2" w:rsidRPr="006D4F10">
        <w:rPr>
          <w:rFonts w:ascii="Arial" w:hAnsi="Arial" w:cs="Arial"/>
          <w:i/>
          <w:sz w:val="24"/>
          <w:szCs w:val="24"/>
        </w:rPr>
        <w:t>по с</w:t>
      </w:r>
      <w:r w:rsidR="009F7DAA" w:rsidRPr="006D4F10">
        <w:rPr>
          <w:rFonts w:ascii="Arial" w:hAnsi="Arial" w:cs="Arial"/>
          <w:i/>
          <w:sz w:val="24"/>
          <w:szCs w:val="24"/>
        </w:rPr>
        <w:t>огласованию с отделом  ГИБДД О</w:t>
      </w:r>
      <w:r w:rsidR="00714CE2" w:rsidRPr="006D4F10">
        <w:rPr>
          <w:rFonts w:ascii="Arial" w:hAnsi="Arial" w:cs="Arial"/>
          <w:i/>
          <w:sz w:val="24"/>
          <w:szCs w:val="24"/>
        </w:rPr>
        <w:t>М</w:t>
      </w:r>
      <w:r w:rsidR="009F7DAA" w:rsidRPr="006D4F10">
        <w:rPr>
          <w:rFonts w:ascii="Arial" w:hAnsi="Arial" w:cs="Arial"/>
          <w:i/>
          <w:sz w:val="24"/>
          <w:szCs w:val="24"/>
        </w:rPr>
        <w:t>ВД России по Верхнекетскому району УМВД России по Томской области,</w:t>
      </w:r>
    </w:p>
    <w:p w:rsidR="009F7DAA" w:rsidRDefault="009F7DAA" w:rsidP="00714CE2">
      <w:pPr>
        <w:ind w:firstLine="708"/>
        <w:jc w:val="both"/>
        <w:rPr>
          <w:rFonts w:ascii="Arial" w:hAnsi="Arial" w:cs="Arial"/>
          <w:i/>
          <w:sz w:val="24"/>
        </w:rPr>
      </w:pPr>
    </w:p>
    <w:p w:rsidR="005F7401" w:rsidRPr="001A2FB0" w:rsidRDefault="005F7401" w:rsidP="00714CE2">
      <w:pPr>
        <w:ind w:firstLine="708"/>
        <w:jc w:val="both"/>
        <w:rPr>
          <w:rFonts w:ascii="Arial" w:hAnsi="Arial" w:cs="Arial"/>
          <w:i/>
          <w:sz w:val="24"/>
        </w:rPr>
      </w:pPr>
    </w:p>
    <w:p w:rsidR="005F7401" w:rsidRDefault="00714CE2" w:rsidP="005F7401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6D4F10">
        <w:rPr>
          <w:rFonts w:ascii="Arial" w:hAnsi="Arial" w:cs="Arial"/>
          <w:b/>
          <w:sz w:val="24"/>
          <w:szCs w:val="24"/>
        </w:rPr>
        <w:t>ПОСТАНОВЛЯЮ:</w:t>
      </w:r>
    </w:p>
    <w:p w:rsidR="005F7401" w:rsidRPr="006D4F10" w:rsidRDefault="005F7401" w:rsidP="005F7401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14CE2" w:rsidRPr="006D4F10" w:rsidRDefault="00714CE2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Ввести на территории муниципального образования «Белоярское городское поселение» </w:t>
      </w:r>
      <w:r w:rsidR="00A663A1">
        <w:rPr>
          <w:rFonts w:ascii="Arial" w:hAnsi="Arial" w:cs="Arial"/>
          <w:sz w:val="24"/>
          <w:szCs w:val="24"/>
        </w:rPr>
        <w:t>временное ограничения движения транспортных средств</w:t>
      </w:r>
      <w:r w:rsidR="00FF2467">
        <w:rPr>
          <w:rFonts w:ascii="Arial" w:hAnsi="Arial" w:cs="Arial"/>
          <w:sz w:val="24"/>
          <w:szCs w:val="24"/>
        </w:rPr>
        <w:t xml:space="preserve"> общей массой более 8 тонн</w:t>
      </w:r>
      <w:r w:rsidR="00A663A1">
        <w:rPr>
          <w:rFonts w:ascii="Arial" w:hAnsi="Arial" w:cs="Arial"/>
          <w:sz w:val="24"/>
          <w:szCs w:val="24"/>
        </w:rPr>
        <w:t xml:space="preserve"> по автомобильным дорогам</w:t>
      </w:r>
      <w:r w:rsidR="00A663A1" w:rsidRPr="006D4F10">
        <w:rPr>
          <w:rFonts w:ascii="Arial" w:hAnsi="Arial" w:cs="Arial"/>
          <w:sz w:val="24"/>
          <w:szCs w:val="24"/>
        </w:rPr>
        <w:t xml:space="preserve"> </w:t>
      </w:r>
      <w:r w:rsidRPr="006D4F10">
        <w:rPr>
          <w:rFonts w:ascii="Arial" w:hAnsi="Arial" w:cs="Arial"/>
          <w:sz w:val="24"/>
          <w:szCs w:val="24"/>
        </w:rPr>
        <w:t xml:space="preserve">в период с </w:t>
      </w:r>
      <w:r w:rsidR="00156759" w:rsidRPr="006D4F10">
        <w:rPr>
          <w:rFonts w:ascii="Arial" w:hAnsi="Arial" w:cs="Arial"/>
          <w:b/>
          <w:sz w:val="24"/>
          <w:szCs w:val="24"/>
        </w:rPr>
        <w:t>10 апреля 2015</w:t>
      </w:r>
      <w:r w:rsidRPr="006D4F10">
        <w:rPr>
          <w:rFonts w:ascii="Arial" w:hAnsi="Arial" w:cs="Arial"/>
          <w:b/>
          <w:sz w:val="24"/>
          <w:szCs w:val="24"/>
        </w:rPr>
        <w:t xml:space="preserve"> года </w:t>
      </w:r>
      <w:r w:rsidRPr="006D4F10">
        <w:rPr>
          <w:rFonts w:ascii="Arial" w:hAnsi="Arial" w:cs="Arial"/>
          <w:sz w:val="24"/>
          <w:szCs w:val="24"/>
        </w:rPr>
        <w:t xml:space="preserve">по </w:t>
      </w:r>
      <w:r w:rsidR="00935178">
        <w:rPr>
          <w:rFonts w:ascii="Arial" w:hAnsi="Arial" w:cs="Arial"/>
          <w:b/>
          <w:sz w:val="24"/>
          <w:szCs w:val="24"/>
        </w:rPr>
        <w:t xml:space="preserve">24 мая </w:t>
      </w:r>
      <w:r w:rsidR="00156759" w:rsidRPr="006D4F10">
        <w:rPr>
          <w:rFonts w:ascii="Arial" w:hAnsi="Arial" w:cs="Arial"/>
          <w:b/>
          <w:sz w:val="24"/>
          <w:szCs w:val="24"/>
        </w:rPr>
        <w:t>2015</w:t>
      </w:r>
      <w:r w:rsidRPr="006D4F10">
        <w:rPr>
          <w:rFonts w:ascii="Arial" w:hAnsi="Arial" w:cs="Arial"/>
          <w:b/>
          <w:sz w:val="24"/>
          <w:szCs w:val="24"/>
        </w:rPr>
        <w:t xml:space="preserve"> года </w:t>
      </w:r>
      <w:r w:rsidRPr="006D4F10">
        <w:rPr>
          <w:rFonts w:ascii="Arial" w:hAnsi="Arial" w:cs="Arial"/>
          <w:sz w:val="24"/>
          <w:szCs w:val="24"/>
        </w:rPr>
        <w:t>включительно,</w:t>
      </w:r>
      <w:r w:rsidRPr="006D4F10">
        <w:rPr>
          <w:rFonts w:ascii="Arial" w:hAnsi="Arial" w:cs="Arial"/>
          <w:b/>
          <w:sz w:val="24"/>
          <w:szCs w:val="24"/>
        </w:rPr>
        <w:t xml:space="preserve"> </w:t>
      </w:r>
      <w:r w:rsidRPr="006D4F10">
        <w:rPr>
          <w:rFonts w:ascii="Arial" w:hAnsi="Arial" w:cs="Arial"/>
          <w:sz w:val="24"/>
          <w:szCs w:val="24"/>
        </w:rPr>
        <w:t xml:space="preserve">с установкой соответствующих дорожных </w:t>
      </w:r>
      <w:r w:rsidR="005F7401">
        <w:rPr>
          <w:rFonts w:ascii="Arial" w:hAnsi="Arial" w:cs="Arial"/>
          <w:sz w:val="24"/>
          <w:szCs w:val="24"/>
        </w:rPr>
        <w:t>знаков.</w:t>
      </w:r>
    </w:p>
    <w:p w:rsidR="00A663A1" w:rsidRDefault="00714CE2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Временное ограничение не распространяется</w:t>
      </w:r>
      <w:r w:rsidR="00FF2467">
        <w:rPr>
          <w:rFonts w:ascii="Arial" w:hAnsi="Arial" w:cs="Arial"/>
          <w:sz w:val="24"/>
          <w:szCs w:val="24"/>
        </w:rPr>
        <w:t xml:space="preserve"> на</w:t>
      </w:r>
      <w:r w:rsidRPr="006D4F10">
        <w:rPr>
          <w:rFonts w:ascii="Arial" w:hAnsi="Arial" w:cs="Arial"/>
          <w:sz w:val="24"/>
          <w:szCs w:val="24"/>
        </w:rPr>
        <w:t>:</w:t>
      </w:r>
      <w:r w:rsidR="006D4F10">
        <w:rPr>
          <w:rFonts w:ascii="Arial" w:hAnsi="Arial" w:cs="Arial"/>
          <w:sz w:val="24"/>
          <w:szCs w:val="24"/>
        </w:rPr>
        <w:t xml:space="preserve"> </w:t>
      </w:r>
    </w:p>
    <w:p w:rsidR="00A663A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 </w:t>
      </w:r>
      <w:r w:rsidR="00A663A1">
        <w:rPr>
          <w:rFonts w:ascii="Arial" w:hAnsi="Arial" w:cs="Arial"/>
          <w:sz w:val="24"/>
          <w:szCs w:val="24"/>
        </w:rPr>
        <w:t>международные перевозки грузов;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пассажирские перевозки автобу</w:t>
      </w:r>
      <w:r w:rsidR="005F7401">
        <w:rPr>
          <w:rFonts w:ascii="Arial" w:hAnsi="Arial" w:cs="Arial"/>
          <w:sz w:val="24"/>
          <w:szCs w:val="24"/>
        </w:rPr>
        <w:t>сами, в том числе международные;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перевозки пищевых продуктов,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</w:t>
      </w:r>
      <w:r w:rsidR="005F7401">
        <w:rPr>
          <w:rFonts w:ascii="Arial" w:hAnsi="Arial" w:cs="Arial"/>
          <w:sz w:val="24"/>
          <w:szCs w:val="24"/>
        </w:rPr>
        <w:t>брений, почты и почтовых грузов;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 перевозки грузов, необходимых для ликвидации последствий стихийных бедствий или</w:t>
      </w:r>
      <w:r w:rsidR="005F7401">
        <w:rPr>
          <w:rFonts w:ascii="Arial" w:hAnsi="Arial" w:cs="Arial"/>
          <w:sz w:val="24"/>
          <w:szCs w:val="24"/>
        </w:rPr>
        <w:t xml:space="preserve"> иных чрезвычайных происшествий;</w:t>
      </w:r>
    </w:p>
    <w:p w:rsidR="005F7401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lastRenderedPageBreak/>
        <w:t xml:space="preserve"> транспортировку дорожно-строительной и дорожно-эксплуатационной техники и материалов, применяемых при проведении аварийно-восс</w:t>
      </w:r>
      <w:r w:rsidR="005F7401">
        <w:rPr>
          <w:rFonts w:ascii="Arial" w:hAnsi="Arial" w:cs="Arial"/>
          <w:sz w:val="24"/>
          <w:szCs w:val="24"/>
        </w:rPr>
        <w:t>тановительных и ремонтных работ;</w:t>
      </w:r>
    </w:p>
    <w:p w:rsidR="00714CE2" w:rsidRPr="006D4F10" w:rsidRDefault="00714CE2" w:rsidP="005F7401">
      <w:pPr>
        <w:pStyle w:val="2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 xml:space="preserve"> транспортные средства федеральных органов исполнительной власти, в которых федеральным законом предусмотрена военная служба. </w:t>
      </w:r>
    </w:p>
    <w:p w:rsidR="009F7DAA" w:rsidRPr="006D4F10" w:rsidRDefault="009F7DAA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</w:t>
      </w:r>
      <w:r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«Территория»</w:t>
      </w:r>
      <w:r w:rsidR="009139C9" w:rsidRPr="006D4F10">
        <w:rPr>
          <w:rFonts w:ascii="Arial" w:hAnsi="Arial" w:cs="Arial"/>
          <w:color w:val="000000"/>
          <w:spacing w:val="3"/>
          <w:sz w:val="24"/>
          <w:szCs w:val="24"/>
        </w:rPr>
        <w:t>,</w:t>
      </w:r>
      <w:r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9139C9" w:rsidRPr="006D4F10">
        <w:rPr>
          <w:rFonts w:ascii="Arial" w:hAnsi="Arial" w:cs="Arial"/>
          <w:color w:val="000000"/>
          <w:spacing w:val="3"/>
          <w:sz w:val="24"/>
          <w:szCs w:val="24"/>
        </w:rPr>
        <w:t xml:space="preserve">в районной газете «Заря Севера» </w:t>
      </w:r>
      <w:r w:rsidRPr="006D4F10">
        <w:rPr>
          <w:rFonts w:ascii="Arial" w:hAnsi="Arial" w:cs="Arial"/>
          <w:color w:val="000000"/>
          <w:spacing w:val="3"/>
          <w:sz w:val="24"/>
          <w:szCs w:val="24"/>
        </w:rPr>
        <w:t>и на официальном сайте Администрации Верхнекетского района.</w:t>
      </w:r>
    </w:p>
    <w:p w:rsidR="00714CE2" w:rsidRPr="006D4F10" w:rsidRDefault="00714CE2" w:rsidP="005F7401">
      <w:pPr>
        <w:pStyle w:val="21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14CE2" w:rsidRPr="006D4F10" w:rsidRDefault="00714CE2" w:rsidP="005F7401">
      <w:pPr>
        <w:ind w:firstLine="709"/>
        <w:rPr>
          <w:rFonts w:ascii="Arial" w:hAnsi="Arial" w:cs="Arial"/>
          <w:sz w:val="24"/>
          <w:szCs w:val="24"/>
        </w:rPr>
      </w:pPr>
    </w:p>
    <w:p w:rsidR="009139C9" w:rsidRDefault="009139C9" w:rsidP="005F7401">
      <w:pPr>
        <w:ind w:firstLine="709"/>
        <w:rPr>
          <w:rFonts w:ascii="Arial" w:hAnsi="Arial" w:cs="Arial"/>
          <w:sz w:val="24"/>
          <w:szCs w:val="24"/>
        </w:rPr>
      </w:pPr>
    </w:p>
    <w:p w:rsidR="005F7401" w:rsidRDefault="005F7401" w:rsidP="005F7401">
      <w:pPr>
        <w:ind w:firstLine="709"/>
        <w:rPr>
          <w:rFonts w:ascii="Arial" w:hAnsi="Arial" w:cs="Arial"/>
          <w:sz w:val="24"/>
          <w:szCs w:val="24"/>
        </w:rPr>
      </w:pPr>
    </w:p>
    <w:p w:rsidR="005F7401" w:rsidRPr="006D4F10" w:rsidRDefault="005F7401" w:rsidP="005F7401">
      <w:pPr>
        <w:ind w:firstLine="709"/>
        <w:rPr>
          <w:rFonts w:ascii="Arial" w:hAnsi="Arial" w:cs="Arial"/>
          <w:sz w:val="24"/>
          <w:szCs w:val="24"/>
        </w:rPr>
      </w:pPr>
    </w:p>
    <w:p w:rsidR="00714CE2" w:rsidRPr="006D4F10" w:rsidRDefault="009F7DAA" w:rsidP="006D4F10">
      <w:pPr>
        <w:spacing w:line="360" w:lineRule="auto"/>
        <w:rPr>
          <w:rFonts w:ascii="Arial" w:hAnsi="Arial" w:cs="Arial"/>
          <w:sz w:val="24"/>
          <w:szCs w:val="24"/>
        </w:rPr>
      </w:pPr>
      <w:r w:rsidRPr="006D4F10">
        <w:rPr>
          <w:rFonts w:ascii="Arial" w:hAnsi="Arial" w:cs="Arial"/>
          <w:sz w:val="24"/>
          <w:szCs w:val="24"/>
        </w:rPr>
        <w:t>Глава</w:t>
      </w:r>
      <w:r w:rsidR="00714CE2" w:rsidRPr="006D4F10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 </w:t>
      </w:r>
      <w:r w:rsidR="006D4F10">
        <w:rPr>
          <w:rFonts w:ascii="Arial" w:hAnsi="Arial" w:cs="Arial"/>
          <w:sz w:val="24"/>
          <w:szCs w:val="24"/>
        </w:rPr>
        <w:t xml:space="preserve">              </w:t>
      </w:r>
      <w:r w:rsidR="00714CE2" w:rsidRPr="006D4F10">
        <w:rPr>
          <w:rFonts w:ascii="Arial" w:hAnsi="Arial" w:cs="Arial"/>
          <w:sz w:val="24"/>
          <w:szCs w:val="24"/>
        </w:rPr>
        <w:t xml:space="preserve">   </w:t>
      </w:r>
      <w:r w:rsidRPr="006D4F10">
        <w:rPr>
          <w:rFonts w:ascii="Arial" w:hAnsi="Arial" w:cs="Arial"/>
          <w:sz w:val="24"/>
          <w:szCs w:val="24"/>
        </w:rPr>
        <w:t>В.Л. Минеев</w:t>
      </w:r>
    </w:p>
    <w:p w:rsidR="009139C9" w:rsidRDefault="009139C9" w:rsidP="00714CE2">
      <w:pPr>
        <w:spacing w:line="360" w:lineRule="auto"/>
        <w:rPr>
          <w:rFonts w:ascii="Arial" w:hAnsi="Arial" w:cs="Arial"/>
          <w:sz w:val="24"/>
          <w:szCs w:val="24"/>
        </w:rPr>
      </w:pPr>
    </w:p>
    <w:p w:rsidR="009139C9" w:rsidRDefault="009139C9" w:rsidP="00714CE2">
      <w:pPr>
        <w:spacing w:line="360" w:lineRule="auto"/>
        <w:rPr>
          <w:rFonts w:ascii="Arial" w:hAnsi="Arial" w:cs="Arial"/>
          <w:sz w:val="24"/>
          <w:szCs w:val="24"/>
        </w:rPr>
      </w:pPr>
    </w:p>
    <w:p w:rsidR="009139C9" w:rsidRDefault="009139C9" w:rsidP="00714CE2">
      <w:pPr>
        <w:spacing w:line="360" w:lineRule="auto"/>
        <w:rPr>
          <w:rFonts w:ascii="Arial" w:hAnsi="Arial" w:cs="Arial"/>
          <w:sz w:val="24"/>
          <w:szCs w:val="24"/>
        </w:rPr>
      </w:pPr>
    </w:p>
    <w:p w:rsidR="009139C9" w:rsidRDefault="009139C9" w:rsidP="00714CE2">
      <w:pPr>
        <w:spacing w:line="360" w:lineRule="auto"/>
        <w:rPr>
          <w:rFonts w:ascii="Arial" w:hAnsi="Arial" w:cs="Arial"/>
          <w:i/>
          <w:iCs/>
        </w:rPr>
      </w:pPr>
    </w:p>
    <w:p w:rsidR="00714CE2" w:rsidRDefault="00714CE2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5F7401" w:rsidRDefault="005F7401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5F7401" w:rsidRDefault="005F7401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5F7401" w:rsidRDefault="005F7401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5F7401" w:rsidRDefault="005F7401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5F7401" w:rsidRDefault="005F7401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6D4F10" w:rsidRPr="006D4F10" w:rsidRDefault="006D4F10" w:rsidP="00714CE2">
      <w:pPr>
        <w:pStyle w:val="1"/>
        <w:spacing w:line="360" w:lineRule="auto"/>
        <w:rPr>
          <w:rFonts w:ascii="Arial" w:hAnsi="Arial" w:cs="Arial"/>
          <w:i/>
          <w:iCs/>
        </w:rPr>
      </w:pPr>
    </w:p>
    <w:p w:rsidR="00714CE2" w:rsidRPr="006D4F10" w:rsidRDefault="009F7DAA" w:rsidP="00714CE2">
      <w:pPr>
        <w:pStyle w:val="1"/>
        <w:spacing w:line="360" w:lineRule="auto"/>
        <w:rPr>
          <w:rFonts w:ascii="Arial" w:hAnsi="Arial" w:cs="Arial"/>
          <w:i/>
          <w:iCs/>
        </w:rPr>
      </w:pPr>
      <w:r w:rsidRPr="006D4F10">
        <w:rPr>
          <w:rFonts w:ascii="Arial" w:hAnsi="Arial" w:cs="Arial"/>
          <w:i/>
          <w:iCs/>
        </w:rPr>
        <w:t>Люткевич А.Г.</w:t>
      </w:r>
    </w:p>
    <w:p w:rsidR="00714CE2" w:rsidRPr="006D4F10" w:rsidRDefault="00714CE2" w:rsidP="00714CE2">
      <w:pPr>
        <w:pStyle w:val="1"/>
        <w:spacing w:line="360" w:lineRule="auto"/>
        <w:rPr>
          <w:rFonts w:ascii="Arial" w:hAnsi="Arial" w:cs="Arial"/>
        </w:rPr>
      </w:pPr>
      <w:r w:rsidRPr="006D4F10">
        <w:rPr>
          <w:rFonts w:ascii="Arial" w:hAnsi="Arial" w:cs="Arial"/>
          <w:i/>
          <w:iCs/>
        </w:rPr>
        <w:t>2-</w:t>
      </w:r>
      <w:r w:rsidR="009F7DAA" w:rsidRPr="006D4F10">
        <w:rPr>
          <w:rFonts w:ascii="Arial" w:hAnsi="Arial" w:cs="Arial"/>
          <w:i/>
          <w:iCs/>
        </w:rPr>
        <w:t>27-73</w:t>
      </w:r>
    </w:p>
    <w:p w:rsidR="00FF42F5" w:rsidRPr="006D4F10" w:rsidRDefault="00714CE2" w:rsidP="009139C9">
      <w:pPr>
        <w:pStyle w:val="1"/>
        <w:pBdr>
          <w:top w:val="single" w:sz="4" w:space="1" w:color="000000"/>
        </w:pBdr>
        <w:spacing w:line="360" w:lineRule="auto"/>
        <w:rPr>
          <w:rFonts w:ascii="Arial" w:hAnsi="Arial" w:cs="Arial"/>
        </w:rPr>
      </w:pPr>
      <w:r w:rsidRPr="006D4F10">
        <w:rPr>
          <w:rFonts w:ascii="Arial" w:hAnsi="Arial" w:cs="Arial"/>
        </w:rPr>
        <w:t>Дело-</w:t>
      </w:r>
      <w:bookmarkStart w:id="0" w:name="_GoBack"/>
      <w:bookmarkEnd w:id="0"/>
      <w:r w:rsidR="00E82FBD" w:rsidRPr="006D4F10">
        <w:rPr>
          <w:rFonts w:ascii="Arial" w:hAnsi="Arial" w:cs="Arial"/>
        </w:rPr>
        <w:t>2, прокуратура</w:t>
      </w:r>
      <w:r w:rsidRPr="006D4F10">
        <w:rPr>
          <w:rFonts w:ascii="Arial" w:hAnsi="Arial" w:cs="Arial"/>
        </w:rPr>
        <w:t>-1, Те</w:t>
      </w:r>
      <w:r w:rsidR="006D4F10">
        <w:rPr>
          <w:rFonts w:ascii="Arial" w:hAnsi="Arial" w:cs="Arial"/>
        </w:rPr>
        <w:t>рритория-</w:t>
      </w:r>
      <w:proofErr w:type="gramStart"/>
      <w:r w:rsidR="006D4F10">
        <w:rPr>
          <w:rFonts w:ascii="Arial" w:hAnsi="Arial" w:cs="Arial"/>
        </w:rPr>
        <w:t>1 ,</w:t>
      </w:r>
      <w:proofErr w:type="gramEnd"/>
      <w:r w:rsidR="006D4F10">
        <w:rPr>
          <w:rFonts w:ascii="Arial" w:hAnsi="Arial" w:cs="Arial"/>
        </w:rPr>
        <w:t xml:space="preserve"> Адм. Верх.</w:t>
      </w:r>
      <w:r w:rsidRPr="006D4F10">
        <w:rPr>
          <w:rFonts w:ascii="Arial" w:hAnsi="Arial" w:cs="Arial"/>
        </w:rPr>
        <w:t xml:space="preserve"> ра</w:t>
      </w:r>
      <w:r w:rsidR="009139C9" w:rsidRPr="006D4F10">
        <w:rPr>
          <w:rFonts w:ascii="Arial" w:hAnsi="Arial" w:cs="Arial"/>
        </w:rPr>
        <w:t>йона- 1, редакция газеты - 1, ГИБДД</w:t>
      </w:r>
      <w:r w:rsidRPr="006D4F10">
        <w:rPr>
          <w:rFonts w:ascii="Arial" w:hAnsi="Arial" w:cs="Arial"/>
        </w:rPr>
        <w:t>-1.</w:t>
      </w:r>
    </w:p>
    <w:sectPr w:rsidR="00FF42F5" w:rsidRPr="006D4F10" w:rsidSect="006D4F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902473"/>
    <w:multiLevelType w:val="hybridMultilevel"/>
    <w:tmpl w:val="17F67DEE"/>
    <w:lvl w:ilvl="0" w:tplc="CAFCC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414"/>
    <w:rsid w:val="00006A1C"/>
    <w:rsid w:val="00156759"/>
    <w:rsid w:val="001A2FB0"/>
    <w:rsid w:val="001B04A2"/>
    <w:rsid w:val="00226F3B"/>
    <w:rsid w:val="00254087"/>
    <w:rsid w:val="00274778"/>
    <w:rsid w:val="0028214A"/>
    <w:rsid w:val="002E4AE8"/>
    <w:rsid w:val="0032390F"/>
    <w:rsid w:val="004412A8"/>
    <w:rsid w:val="004B1414"/>
    <w:rsid w:val="005F7401"/>
    <w:rsid w:val="006D4F10"/>
    <w:rsid w:val="00714CE2"/>
    <w:rsid w:val="00806279"/>
    <w:rsid w:val="0081656C"/>
    <w:rsid w:val="00884DC9"/>
    <w:rsid w:val="009139C9"/>
    <w:rsid w:val="00935178"/>
    <w:rsid w:val="009466B1"/>
    <w:rsid w:val="00963E12"/>
    <w:rsid w:val="009F16DF"/>
    <w:rsid w:val="009F7DAA"/>
    <w:rsid w:val="00A635D0"/>
    <w:rsid w:val="00A645E0"/>
    <w:rsid w:val="00A663A1"/>
    <w:rsid w:val="00BA737B"/>
    <w:rsid w:val="00BD68B4"/>
    <w:rsid w:val="00C703B4"/>
    <w:rsid w:val="00D36DF4"/>
    <w:rsid w:val="00D656A9"/>
    <w:rsid w:val="00D91E79"/>
    <w:rsid w:val="00E82FBD"/>
    <w:rsid w:val="00EA6936"/>
    <w:rsid w:val="00F00879"/>
    <w:rsid w:val="00FF2467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F1C969-D386-41D4-BB68-A36DB5F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E4A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uiPriority w:val="99"/>
    <w:rsid w:val="002E4A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3"/>
    <w:rsid w:val="002E4AE8"/>
    <w:pPr>
      <w:ind w:left="3828" w:hanging="284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008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7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1">
    <w:name w:val="заголовок 11"/>
    <w:basedOn w:val="a"/>
    <w:next w:val="a"/>
    <w:rsid w:val="009139C9"/>
    <w:pPr>
      <w:keepNext/>
      <w:jc w:val="right"/>
    </w:pPr>
    <w:rPr>
      <w:b/>
      <w:i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4BE4-0C81-44F6-99FF-B6D93BEE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AdmBGP</dc:creator>
  <cp:lastModifiedBy>Yurist</cp:lastModifiedBy>
  <cp:revision>10</cp:revision>
  <cp:lastPrinted>2015-04-06T05:36:00Z</cp:lastPrinted>
  <dcterms:created xsi:type="dcterms:W3CDTF">2015-03-25T03:05:00Z</dcterms:created>
  <dcterms:modified xsi:type="dcterms:W3CDTF">2015-05-08T08:20:00Z</dcterms:modified>
</cp:coreProperties>
</file>